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48" w:type="dxa"/>
        <w:jc w:val="center"/>
        <w:tblLook w:val="01E0" w:firstRow="1" w:lastRow="1" w:firstColumn="1" w:lastColumn="1" w:noHBand="0" w:noVBand="0"/>
      </w:tblPr>
      <w:tblGrid>
        <w:gridCol w:w="28"/>
        <w:gridCol w:w="743"/>
        <w:gridCol w:w="2109"/>
        <w:gridCol w:w="5866"/>
        <w:gridCol w:w="56"/>
        <w:gridCol w:w="46"/>
      </w:tblGrid>
      <w:tr w:rsidR="00870F64" w:rsidTr="00C874BD">
        <w:trPr>
          <w:gridBefore w:val="1"/>
          <w:wBefore w:w="28" w:type="dxa"/>
          <w:trHeight w:val="295"/>
          <w:jc w:val="center"/>
        </w:trPr>
        <w:tc>
          <w:tcPr>
            <w:tcW w:w="743" w:type="dxa"/>
            <w:tcBorders>
              <w:top w:val="nil"/>
              <w:left w:val="nil"/>
              <w:bottom w:val="nil"/>
              <w:right w:val="nil"/>
            </w:tcBorders>
          </w:tcPr>
          <w:p w:rsidR="00870F64" w:rsidRPr="00587C90" w:rsidRDefault="00870F64">
            <w:pPr>
              <w:jc w:val="both"/>
              <w:rPr>
                <w:rFonts w:ascii="Arial" w:hAnsi="Arial"/>
                <w:b/>
                <w:bCs/>
                <w:sz w:val="26"/>
                <w:szCs w:val="26"/>
              </w:rPr>
            </w:pPr>
            <w:bookmarkStart w:id="0" w:name="_GoBack"/>
            <w:bookmarkEnd w:id="0"/>
          </w:p>
        </w:tc>
        <w:tc>
          <w:tcPr>
            <w:tcW w:w="8077" w:type="dxa"/>
            <w:gridSpan w:val="4"/>
            <w:tcBorders>
              <w:top w:val="nil"/>
              <w:left w:val="nil"/>
              <w:bottom w:val="nil"/>
              <w:right w:val="nil"/>
            </w:tcBorders>
          </w:tcPr>
          <w:p w:rsidR="002D68F5" w:rsidRPr="00587C90" w:rsidRDefault="002D68F5" w:rsidP="002D68F5">
            <w:pPr>
              <w:rPr>
                <w:rFonts w:ascii="Arial" w:hAnsi="Arial"/>
                <w:b/>
                <w:bCs/>
                <w:sz w:val="26"/>
                <w:szCs w:val="26"/>
                <w:highlight w:val="yellow"/>
              </w:rPr>
            </w:pPr>
          </w:p>
        </w:tc>
      </w:tr>
      <w:tr w:rsidR="003A2029" w:rsidRPr="00866B7F" w:rsidTr="00C874B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8" w:type="dxa"/>
          <w:wAfter w:w="102" w:type="dxa"/>
        </w:trPr>
        <w:tc>
          <w:tcPr>
            <w:tcW w:w="8718" w:type="dxa"/>
            <w:gridSpan w:val="3"/>
            <w:hideMark/>
          </w:tcPr>
          <w:p w:rsidR="003A2029" w:rsidRPr="00866B7F" w:rsidRDefault="0025728F">
            <w:pPr>
              <w:spacing w:line="360" w:lineRule="auto"/>
              <w:rPr>
                <w:rFonts w:ascii="David" w:hAnsi="David"/>
                <w:b/>
                <w:bCs/>
                <w:sz w:val="26"/>
                <w:szCs w:val="26"/>
                <w:rtl/>
              </w:rPr>
            </w:pPr>
            <w:r w:rsidRPr="00866B7F">
              <w:rPr>
                <w:rFonts w:ascii="David" w:hAnsi="David"/>
                <w:b/>
                <w:bCs/>
                <w:sz w:val="26"/>
                <w:szCs w:val="26"/>
                <w:rtl/>
              </w:rPr>
              <w:t>בפני הרכב כבוד השופטים:</w:t>
            </w:r>
          </w:p>
          <w:p w:rsidR="003A2029" w:rsidRPr="00866B7F" w:rsidRDefault="0025728F">
            <w:pPr>
              <w:rPr>
                <w:rFonts w:ascii="David" w:hAnsi="David"/>
                <w:b/>
                <w:bCs/>
                <w:sz w:val="26"/>
                <w:szCs w:val="26"/>
                <w:rtl/>
              </w:rPr>
            </w:pPr>
            <w:r w:rsidRPr="00866B7F">
              <w:rPr>
                <w:rFonts w:ascii="David" w:hAnsi="David"/>
                <w:b/>
                <w:bCs/>
                <w:sz w:val="26"/>
                <w:szCs w:val="26"/>
                <w:rtl/>
              </w:rPr>
              <w:t>יחיאל ליפשיץ [אב"ד]</w:t>
            </w:r>
          </w:p>
          <w:p w:rsidR="003A2029" w:rsidRPr="00866B7F" w:rsidRDefault="0025728F">
            <w:pPr>
              <w:rPr>
                <w:rFonts w:ascii="David" w:hAnsi="David"/>
                <w:b/>
                <w:bCs/>
                <w:sz w:val="26"/>
                <w:szCs w:val="26"/>
                <w:rtl/>
              </w:rPr>
            </w:pPr>
            <w:r w:rsidRPr="00866B7F">
              <w:rPr>
                <w:rFonts w:ascii="David" w:hAnsi="David"/>
                <w:b/>
                <w:bCs/>
                <w:sz w:val="26"/>
                <w:szCs w:val="26"/>
                <w:rtl/>
              </w:rPr>
              <w:t>גלית ציגלר</w:t>
            </w:r>
          </w:p>
          <w:p w:rsidR="003A2029" w:rsidRPr="00866B7F" w:rsidRDefault="0025728F">
            <w:pPr>
              <w:rPr>
                <w:rFonts w:ascii="David" w:hAnsi="David"/>
                <w:b/>
                <w:bCs/>
                <w:sz w:val="26"/>
                <w:szCs w:val="26"/>
                <w:rtl/>
              </w:rPr>
            </w:pPr>
            <w:r w:rsidRPr="00866B7F">
              <w:rPr>
                <w:rFonts w:ascii="David" w:hAnsi="David"/>
                <w:b/>
                <w:bCs/>
                <w:sz w:val="26"/>
                <w:szCs w:val="26"/>
                <w:rtl/>
              </w:rPr>
              <w:t>שמואל מנדלבום</w:t>
            </w:r>
          </w:p>
        </w:tc>
      </w:tr>
      <w:tr w:rsidR="003A2029" w:rsidRPr="00866B7F" w:rsidTr="00C874B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cantSplit/>
          <w:trHeight w:val="724"/>
        </w:trPr>
        <w:tc>
          <w:tcPr>
            <w:tcW w:w="2880" w:type="dxa"/>
            <w:gridSpan w:val="3"/>
          </w:tcPr>
          <w:p w:rsidR="003A2029" w:rsidRPr="00272CAC" w:rsidRDefault="00BB20EF">
            <w:pPr>
              <w:ind w:left="26"/>
              <w:rPr>
                <w:rFonts w:ascii="David" w:hAnsi="David"/>
                <w:b/>
                <w:bCs/>
                <w:rtl/>
              </w:rPr>
            </w:pPr>
          </w:p>
          <w:p w:rsidR="00C874BD" w:rsidRDefault="00C874BD">
            <w:pPr>
              <w:ind w:left="26"/>
              <w:rPr>
                <w:rFonts w:ascii="David" w:hAnsi="David"/>
                <w:b/>
                <w:bCs/>
                <w:rtl/>
              </w:rPr>
            </w:pPr>
          </w:p>
          <w:p w:rsidR="003A2029" w:rsidRPr="00272CAC" w:rsidRDefault="0025728F">
            <w:pPr>
              <w:ind w:left="26"/>
              <w:rPr>
                <w:rFonts w:ascii="David" w:hAnsi="David"/>
                <w:b/>
                <w:bCs/>
                <w:rtl/>
              </w:rPr>
            </w:pPr>
            <w:r w:rsidRPr="00272CAC">
              <w:rPr>
                <w:rFonts w:ascii="David" w:hAnsi="David"/>
                <w:b/>
                <w:bCs/>
                <w:rtl/>
              </w:rPr>
              <w:t>ה</w:t>
            </w:r>
            <w:sdt>
              <w:sdtPr>
                <w:rPr>
                  <w:rFonts w:ascii="David" w:hAnsi="David"/>
                  <w:b/>
                  <w:bCs/>
                  <w:rtl/>
                </w:rPr>
                <w:alias w:val="1264"/>
                <w:tag w:val="1264"/>
                <w:id w:val="1557658631"/>
                <w:placeholder>
                  <w:docPart w:val="E6AC9490C5FE43E6B38C30C307257C1E"/>
                </w:placeholder>
                <w:text w:multiLine="1"/>
              </w:sdtPr>
              <w:sdtEndPr/>
              <w:sdtContent>
                <w:r w:rsidRPr="00272CAC">
                  <w:rPr>
                    <w:rFonts w:ascii="David" w:hAnsi="David"/>
                    <w:b/>
                    <w:bCs/>
                    <w:rtl/>
                  </w:rPr>
                  <w:t>מאשימה</w:t>
                </w:r>
              </w:sdtContent>
            </w:sdt>
          </w:p>
        </w:tc>
        <w:tc>
          <w:tcPr>
            <w:tcW w:w="5922" w:type="dxa"/>
            <w:gridSpan w:val="2"/>
          </w:tcPr>
          <w:p w:rsidR="003A2029" w:rsidRPr="00272CAC" w:rsidRDefault="00BB20EF">
            <w:pPr>
              <w:rPr>
                <w:rFonts w:ascii="David" w:hAnsi="David"/>
                <w:b/>
                <w:bCs/>
                <w:rtl/>
              </w:rPr>
            </w:pPr>
          </w:p>
          <w:p w:rsidR="003A2029" w:rsidRPr="00272CAC" w:rsidRDefault="00BB20EF" w:rsidP="00272CAC">
            <w:pPr>
              <w:rPr>
                <w:rFonts w:ascii="David" w:hAnsi="David"/>
                <w:b/>
                <w:bCs/>
                <w:rtl/>
              </w:rPr>
            </w:pPr>
            <w:sdt>
              <w:sdtPr>
                <w:rPr>
                  <w:rFonts w:ascii="David" w:hAnsi="David"/>
                  <w:b/>
                  <w:bCs/>
                  <w:rtl/>
                </w:rPr>
                <w:alias w:val="825"/>
                <w:tag w:val="825"/>
                <w:id w:val="170685715"/>
                <w:text w:multiLine="1"/>
              </w:sdtPr>
              <w:sdtEndPr/>
              <w:sdtContent>
                <w:r w:rsidR="00C874BD">
                  <w:rPr>
                    <w:rFonts w:ascii="David" w:hAnsi="David"/>
                    <w:b/>
                    <w:bCs/>
                    <w:rtl/>
                  </w:rPr>
                  <w:br/>
                </w:r>
                <w:r w:rsidR="00272CAC" w:rsidRPr="00272CAC">
                  <w:rPr>
                    <w:rFonts w:ascii="David" w:hAnsi="David"/>
                    <w:b/>
                    <w:bCs/>
                    <w:rtl/>
                  </w:rPr>
                  <w:t>מדינת ישראל</w:t>
                </w:r>
                <w:r w:rsidR="00272CAC" w:rsidRPr="00272CAC">
                  <w:rPr>
                    <w:rFonts w:ascii="David" w:hAnsi="David"/>
                    <w:b/>
                    <w:bCs/>
                    <w:rtl/>
                  </w:rPr>
                  <w:br/>
                </w:r>
                <w:r w:rsidR="00272CAC" w:rsidRPr="00272CAC">
                  <w:rPr>
                    <w:rFonts w:ascii="David" w:hAnsi="David" w:hint="cs"/>
                    <w:b/>
                    <w:bCs/>
                    <w:rtl/>
                  </w:rPr>
                  <w:t xml:space="preserve">באמצעות המחלקה לחקירות שוטרים  </w:t>
                </w:r>
                <w:r w:rsidR="00272CAC" w:rsidRPr="00272CAC">
                  <w:rPr>
                    <w:rFonts w:ascii="David" w:hAnsi="David"/>
                    <w:b/>
                    <w:bCs/>
                    <w:rtl/>
                  </w:rPr>
                  <w:br/>
                </w:r>
                <w:r w:rsidR="00272CAC" w:rsidRPr="00272CAC">
                  <w:rPr>
                    <w:rFonts w:ascii="David" w:hAnsi="David" w:hint="eastAsia"/>
                    <w:b/>
                    <w:bCs/>
                    <w:rtl/>
                  </w:rPr>
                  <w:t>עו</w:t>
                </w:r>
                <w:r w:rsidR="00272CAC" w:rsidRPr="00272CAC">
                  <w:rPr>
                    <w:rFonts w:ascii="David" w:hAnsi="David"/>
                    <w:b/>
                    <w:bCs/>
                    <w:rtl/>
                  </w:rPr>
                  <w:t>"</w:t>
                </w:r>
                <w:r w:rsidR="00272CAC" w:rsidRPr="00272CAC">
                  <w:rPr>
                    <w:rFonts w:ascii="David" w:hAnsi="David" w:hint="eastAsia"/>
                    <w:b/>
                    <w:bCs/>
                    <w:rtl/>
                  </w:rPr>
                  <w:t>ד</w:t>
                </w:r>
                <w:r w:rsidR="00272CAC" w:rsidRPr="00272CAC">
                  <w:rPr>
                    <w:rFonts w:ascii="David" w:hAnsi="David"/>
                    <w:b/>
                    <w:bCs/>
                    <w:rtl/>
                  </w:rPr>
                  <w:t xml:space="preserve"> </w:t>
                </w:r>
                <w:r w:rsidR="00272CAC" w:rsidRPr="00272CAC">
                  <w:rPr>
                    <w:rFonts w:ascii="David" w:hAnsi="David" w:hint="eastAsia"/>
                    <w:b/>
                    <w:bCs/>
                    <w:rtl/>
                  </w:rPr>
                  <w:t>רונן</w:t>
                </w:r>
                <w:r w:rsidR="00272CAC" w:rsidRPr="00272CAC">
                  <w:rPr>
                    <w:rFonts w:ascii="David" w:hAnsi="David"/>
                    <w:b/>
                    <w:bCs/>
                    <w:rtl/>
                  </w:rPr>
                  <w:t xml:space="preserve"> </w:t>
                </w:r>
                <w:r w:rsidR="00272CAC" w:rsidRPr="00272CAC">
                  <w:rPr>
                    <w:rFonts w:ascii="David" w:hAnsi="David" w:hint="eastAsia"/>
                    <w:b/>
                    <w:bCs/>
                    <w:rtl/>
                  </w:rPr>
                  <w:t>יצחק</w:t>
                </w:r>
                <w:r w:rsidR="00272CAC" w:rsidRPr="00272CAC">
                  <w:rPr>
                    <w:rFonts w:ascii="David" w:hAnsi="David"/>
                    <w:b/>
                    <w:bCs/>
                    <w:rtl/>
                  </w:rPr>
                  <w:t xml:space="preserve">, </w:t>
                </w:r>
                <w:r w:rsidR="00272CAC" w:rsidRPr="00272CAC">
                  <w:rPr>
                    <w:rFonts w:ascii="David" w:hAnsi="David" w:hint="eastAsia"/>
                    <w:b/>
                    <w:bCs/>
                    <w:rtl/>
                  </w:rPr>
                  <w:t>עו</w:t>
                </w:r>
                <w:r w:rsidR="00272CAC" w:rsidRPr="00272CAC">
                  <w:rPr>
                    <w:rFonts w:ascii="David" w:hAnsi="David"/>
                    <w:b/>
                    <w:bCs/>
                    <w:rtl/>
                  </w:rPr>
                  <w:t>"</w:t>
                </w:r>
                <w:r w:rsidR="00272CAC" w:rsidRPr="00272CAC">
                  <w:rPr>
                    <w:rFonts w:ascii="David" w:hAnsi="David" w:hint="eastAsia"/>
                    <w:b/>
                    <w:bCs/>
                    <w:rtl/>
                  </w:rPr>
                  <w:t>ד</w:t>
                </w:r>
                <w:r w:rsidR="00272CAC" w:rsidRPr="00272CAC">
                  <w:rPr>
                    <w:rFonts w:ascii="David" w:hAnsi="David"/>
                    <w:b/>
                    <w:bCs/>
                    <w:rtl/>
                  </w:rPr>
                  <w:t xml:space="preserve"> </w:t>
                </w:r>
                <w:r w:rsidR="00272CAC" w:rsidRPr="00272CAC">
                  <w:rPr>
                    <w:rFonts w:ascii="David" w:hAnsi="David" w:hint="eastAsia"/>
                    <w:b/>
                    <w:bCs/>
                    <w:rtl/>
                  </w:rPr>
                  <w:t>אורי</w:t>
                </w:r>
                <w:r w:rsidR="00272CAC" w:rsidRPr="00272CAC">
                  <w:rPr>
                    <w:rFonts w:ascii="David" w:hAnsi="David"/>
                    <w:b/>
                    <w:bCs/>
                    <w:rtl/>
                  </w:rPr>
                  <w:t xml:space="preserve"> </w:t>
                </w:r>
                <w:r w:rsidR="00272CAC" w:rsidRPr="00272CAC">
                  <w:rPr>
                    <w:rFonts w:ascii="David" w:hAnsi="David" w:hint="eastAsia"/>
                    <w:b/>
                    <w:bCs/>
                    <w:rtl/>
                  </w:rPr>
                  <w:t>הכהן</w:t>
                </w:r>
                <w:r w:rsidR="00272CAC" w:rsidRPr="00272CAC">
                  <w:rPr>
                    <w:rFonts w:ascii="David" w:hAnsi="David"/>
                    <w:b/>
                    <w:bCs/>
                    <w:rtl/>
                  </w:rPr>
                  <w:t xml:space="preserve"> </w:t>
                </w:r>
                <w:r w:rsidR="00272CAC" w:rsidRPr="00272CAC">
                  <w:rPr>
                    <w:rFonts w:ascii="David" w:hAnsi="David" w:hint="eastAsia"/>
                    <w:b/>
                    <w:bCs/>
                    <w:rtl/>
                  </w:rPr>
                  <w:t>ועו</w:t>
                </w:r>
                <w:r w:rsidR="00272CAC" w:rsidRPr="00272CAC">
                  <w:rPr>
                    <w:rFonts w:ascii="David" w:hAnsi="David"/>
                    <w:b/>
                    <w:bCs/>
                    <w:rtl/>
                  </w:rPr>
                  <w:t>"</w:t>
                </w:r>
                <w:r w:rsidR="00272CAC" w:rsidRPr="00272CAC">
                  <w:rPr>
                    <w:rFonts w:ascii="David" w:hAnsi="David" w:hint="eastAsia"/>
                    <w:b/>
                    <w:bCs/>
                    <w:rtl/>
                  </w:rPr>
                  <w:t>ד</w:t>
                </w:r>
                <w:r w:rsidR="00272CAC" w:rsidRPr="00272CAC">
                  <w:rPr>
                    <w:rFonts w:ascii="David" w:hAnsi="David"/>
                    <w:b/>
                    <w:bCs/>
                    <w:rtl/>
                  </w:rPr>
                  <w:t xml:space="preserve"> </w:t>
                </w:r>
                <w:r w:rsidR="00272CAC" w:rsidRPr="00272CAC">
                  <w:rPr>
                    <w:rFonts w:ascii="David" w:hAnsi="David" w:hint="eastAsia"/>
                    <w:b/>
                    <w:bCs/>
                    <w:rtl/>
                  </w:rPr>
                  <w:t>נעמי</w:t>
                </w:r>
                <w:r w:rsidR="00272CAC" w:rsidRPr="00272CAC">
                  <w:rPr>
                    <w:rFonts w:ascii="David" w:hAnsi="David"/>
                    <w:b/>
                    <w:bCs/>
                    <w:rtl/>
                  </w:rPr>
                  <w:t xml:space="preserve"> </w:t>
                </w:r>
                <w:r w:rsidR="00272CAC" w:rsidRPr="00272CAC">
                  <w:rPr>
                    <w:rFonts w:ascii="David" w:hAnsi="David" w:hint="eastAsia"/>
                    <w:b/>
                    <w:bCs/>
                    <w:rtl/>
                  </w:rPr>
                  <w:t>מששה</w:t>
                </w:r>
              </w:sdtContent>
            </w:sdt>
          </w:p>
          <w:p w:rsidR="003A2029" w:rsidRPr="00272CAC" w:rsidRDefault="00BB20EF">
            <w:pPr>
              <w:rPr>
                <w:rFonts w:ascii="David" w:hAnsi="David"/>
                <w:b/>
                <w:bCs/>
                <w:rtl/>
              </w:rPr>
            </w:pPr>
          </w:p>
        </w:tc>
      </w:tr>
      <w:tr w:rsidR="003A2029" w:rsidRPr="00866B7F" w:rsidTr="00C874B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trPr>
        <w:tc>
          <w:tcPr>
            <w:tcW w:w="8802" w:type="dxa"/>
            <w:gridSpan w:val="5"/>
            <w:vAlign w:val="center"/>
          </w:tcPr>
          <w:p w:rsidR="003A2029" w:rsidRPr="00272CAC" w:rsidRDefault="0025728F">
            <w:pPr>
              <w:rPr>
                <w:rFonts w:ascii="David" w:hAnsi="David"/>
                <w:b/>
                <w:bCs/>
                <w:rtl/>
              </w:rPr>
            </w:pPr>
            <w:r w:rsidRPr="00272CAC">
              <w:rPr>
                <w:rFonts w:ascii="David" w:hAnsi="David"/>
                <w:b/>
                <w:bCs/>
                <w:rtl/>
              </w:rPr>
              <w:t>נגד</w:t>
            </w:r>
          </w:p>
          <w:p w:rsidR="003A2029" w:rsidRPr="00272CAC" w:rsidRDefault="00BB20EF">
            <w:pPr>
              <w:rPr>
                <w:rFonts w:ascii="David" w:hAnsi="David"/>
                <w:b/>
                <w:bCs/>
                <w:rtl/>
              </w:rPr>
            </w:pPr>
          </w:p>
        </w:tc>
      </w:tr>
      <w:tr w:rsidR="003A2029" w:rsidRPr="00866B7F" w:rsidTr="00C874B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trPr>
        <w:tc>
          <w:tcPr>
            <w:tcW w:w="2880" w:type="dxa"/>
            <w:gridSpan w:val="3"/>
            <w:hideMark/>
          </w:tcPr>
          <w:p w:rsidR="003A2029" w:rsidRPr="00272CAC" w:rsidRDefault="0025728F">
            <w:pPr>
              <w:ind w:left="26"/>
              <w:rPr>
                <w:rFonts w:ascii="David" w:hAnsi="David"/>
                <w:b/>
                <w:bCs/>
                <w:rtl/>
              </w:rPr>
            </w:pPr>
            <w:r w:rsidRPr="00272CAC">
              <w:rPr>
                <w:rFonts w:ascii="David" w:hAnsi="David"/>
                <w:b/>
                <w:bCs/>
                <w:rtl/>
              </w:rPr>
              <w:t>ה</w:t>
            </w:r>
            <w:sdt>
              <w:sdtPr>
                <w:rPr>
                  <w:rFonts w:ascii="David" w:hAnsi="David"/>
                  <w:b/>
                  <w:bCs/>
                  <w:rtl/>
                </w:rPr>
                <w:alias w:val="1265"/>
                <w:tag w:val="1265"/>
                <w:id w:val="-1197313099"/>
                <w:placeholder>
                  <w:docPart w:val="D11122A976414DE99A47A0E01E44AA1A"/>
                </w:placeholder>
                <w:text w:multiLine="1"/>
              </w:sdtPr>
              <w:sdtEndPr/>
              <w:sdtContent>
                <w:r w:rsidRPr="00272CAC">
                  <w:rPr>
                    <w:rFonts w:ascii="David" w:hAnsi="David"/>
                    <w:b/>
                    <w:bCs/>
                    <w:rtl/>
                  </w:rPr>
                  <w:t>נאשם</w:t>
                </w:r>
              </w:sdtContent>
            </w:sdt>
          </w:p>
        </w:tc>
        <w:tc>
          <w:tcPr>
            <w:tcW w:w="5922" w:type="dxa"/>
            <w:gridSpan w:val="2"/>
            <w:hideMark/>
          </w:tcPr>
          <w:p w:rsidR="003A2029" w:rsidRPr="00272CAC" w:rsidRDefault="00BB20EF">
            <w:pPr>
              <w:rPr>
                <w:rFonts w:ascii="David" w:hAnsi="David"/>
                <w:b/>
                <w:bCs/>
                <w:rtl/>
              </w:rPr>
            </w:pPr>
            <w:sdt>
              <w:sdtPr>
                <w:rPr>
                  <w:rFonts w:ascii="David" w:hAnsi="David"/>
                  <w:b/>
                  <w:bCs/>
                  <w:rtl/>
                </w:rPr>
                <w:alias w:val="1266"/>
                <w:tag w:val="1266"/>
                <w:id w:val="815452197"/>
                <w:text w:multiLine="1"/>
              </w:sdtPr>
              <w:sdtEndPr/>
              <w:sdtContent>
                <w:r w:rsidR="0025728F" w:rsidRPr="00272CAC">
                  <w:rPr>
                    <w:rFonts w:ascii="David" w:hAnsi="David"/>
                    <w:b/>
                    <w:bCs/>
                    <w:rtl/>
                  </w:rPr>
                  <w:t>אפיק טויבי (עציר)</w:t>
                </w:r>
              </w:sdtContent>
            </w:sdt>
            <w:r w:rsidR="0025728F" w:rsidRPr="00272CAC">
              <w:rPr>
                <w:rFonts w:ascii="David" w:hAnsi="David"/>
                <w:b/>
                <w:bCs/>
                <w:rtl/>
              </w:rPr>
              <w:t xml:space="preserve"> </w:t>
            </w:r>
            <w:sdt>
              <w:sdtPr>
                <w:rPr>
                  <w:rFonts w:ascii="David" w:hAnsi="David"/>
                  <w:b/>
                  <w:bCs/>
                  <w:rtl/>
                </w:rPr>
                <w:alias w:val="2687"/>
                <w:tag w:val="2687"/>
                <w:id w:val="-1913228079"/>
                <w:placeholder>
                  <w:docPart w:val="038DD294A631466D8E4B78B82EA4F67F"/>
                </w:placeholder>
                <w:text w:multiLine="1"/>
              </w:sdtPr>
              <w:sdtEndPr/>
              <w:sdtContent>
                <w:r w:rsidR="0025728F" w:rsidRPr="00272CAC">
                  <w:rPr>
                    <w:rFonts w:ascii="David" w:hAnsi="David"/>
                    <w:b/>
                    <w:bCs/>
                    <w:rtl/>
                  </w:rPr>
                  <w:t>ת"ז</w:t>
                </w:r>
              </w:sdtContent>
            </w:sdt>
            <w:r w:rsidR="0025728F" w:rsidRPr="00272CAC">
              <w:rPr>
                <w:rFonts w:ascii="David" w:hAnsi="David"/>
                <w:b/>
                <w:bCs/>
                <w:rtl/>
              </w:rPr>
              <w:t xml:space="preserve">  </w:t>
            </w:r>
            <w:sdt>
              <w:sdtPr>
                <w:rPr>
                  <w:rFonts w:ascii="David" w:hAnsi="David"/>
                  <w:b/>
                  <w:bCs/>
                  <w:rtl/>
                </w:rPr>
                <w:alias w:val="2689"/>
                <w:tag w:val="2689"/>
                <w:id w:val="-642500390"/>
                <w:placeholder>
                  <w:docPart w:val="E5C51891AD0044A2A8786BE412E6CC5A"/>
                </w:placeholder>
                <w:text w:multiLine="1"/>
              </w:sdtPr>
              <w:sdtEndPr/>
              <w:sdtContent>
                <w:r w:rsidR="0025728F" w:rsidRPr="00272CAC">
                  <w:rPr>
                    <w:rFonts w:ascii="David" w:hAnsi="David"/>
                    <w:b/>
                    <w:bCs/>
                    <w:rtl/>
                  </w:rPr>
                  <w:t>212188981</w:t>
                </w:r>
              </w:sdtContent>
            </w:sdt>
            <w:r w:rsidR="0025728F" w:rsidRPr="00272CAC">
              <w:rPr>
                <w:rFonts w:ascii="David" w:hAnsi="David"/>
                <w:b/>
                <w:bCs/>
                <w:rtl/>
              </w:rPr>
              <w:t xml:space="preserve"> </w:t>
            </w:r>
          </w:p>
          <w:p w:rsidR="00272CAC" w:rsidRPr="00272CAC" w:rsidRDefault="00272CAC" w:rsidP="00272CAC">
            <w:pPr>
              <w:pStyle w:val="12"/>
              <w:rPr>
                <w:rFonts w:ascii="David" w:hAnsi="David"/>
                <w:u w:val="none"/>
                <w:rtl/>
              </w:rPr>
            </w:pPr>
            <w:r w:rsidRPr="00272CAC">
              <w:rPr>
                <w:rFonts w:ascii="David" w:hAnsi="David" w:hint="cs"/>
                <w:u w:val="none"/>
                <w:rtl/>
              </w:rPr>
              <w:t xml:space="preserve">באמצעות </w:t>
            </w:r>
            <w:r>
              <w:rPr>
                <w:rFonts w:ascii="David" w:hAnsi="David" w:hint="cs"/>
                <w:u w:val="none"/>
                <w:rtl/>
              </w:rPr>
              <w:t>באי כוחו</w:t>
            </w:r>
            <w:r w:rsidRPr="00272CAC">
              <w:rPr>
                <w:rFonts w:ascii="David" w:hAnsi="David" w:hint="cs"/>
                <w:u w:val="none"/>
                <w:rtl/>
              </w:rPr>
              <w:t xml:space="preserve"> </w:t>
            </w:r>
            <w:r w:rsidRPr="00272CAC">
              <w:rPr>
                <w:rFonts w:ascii="David" w:hAnsi="David"/>
                <w:u w:val="none"/>
                <w:rtl/>
              </w:rPr>
              <w:t xml:space="preserve">עו"ד גב' תמי אולמן ועו"ד שאדי סרוג'י </w:t>
            </w:r>
          </w:p>
          <w:p w:rsidR="00272CAC" w:rsidRPr="00272CAC" w:rsidRDefault="00272CAC">
            <w:pPr>
              <w:rPr>
                <w:rFonts w:ascii="David" w:hAnsi="David"/>
                <w:b/>
                <w:bCs/>
                <w:rtl/>
              </w:rPr>
            </w:pPr>
          </w:p>
        </w:tc>
      </w:tr>
    </w:tbl>
    <w:p w:rsidR="003A2029" w:rsidRPr="00866B7F" w:rsidRDefault="0025728F" w:rsidP="003A2029">
      <w:pPr>
        <w:spacing w:line="360" w:lineRule="auto"/>
        <w:jc w:val="both"/>
        <w:rPr>
          <w:rFonts w:ascii="David" w:hAnsi="David"/>
          <w:sz w:val="6"/>
          <w:szCs w:val="6"/>
          <w:rtl/>
        </w:rPr>
      </w:pPr>
      <w:r w:rsidRPr="00866B7F">
        <w:rPr>
          <w:rFonts w:ascii="David" w:hAnsi="David"/>
          <w:sz w:val="6"/>
          <w:szCs w:val="6"/>
          <w:rtl/>
        </w:rPr>
        <w:t>&lt;#1#&gt;</w:t>
      </w:r>
    </w:p>
    <w:p w:rsidR="003A2029" w:rsidRPr="00866B7F" w:rsidRDefault="00BB20EF" w:rsidP="003A2029">
      <w:pPr>
        <w:pStyle w:val="12"/>
        <w:rPr>
          <w:rFonts w:ascii="David" w:hAnsi="David"/>
          <w:rtl/>
        </w:rPr>
      </w:pPr>
    </w:p>
    <w:tbl>
      <w:tblPr>
        <w:tblStyle w:val="a7"/>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272CAC" w:rsidRDefault="00272CAC" w:rsidP="00272CAC">
      <w:pPr>
        <w:spacing w:line="360" w:lineRule="auto"/>
        <w:ind w:firstLine="360"/>
        <w:jc w:val="both"/>
        <w:rPr>
          <w:rFonts w:ascii="David" w:hAnsi="David"/>
          <w:b/>
          <w:bCs/>
          <w:rtl/>
        </w:rPr>
      </w:pPr>
      <w:r>
        <w:rPr>
          <w:rFonts w:ascii="David" w:hAnsi="David" w:hint="cs"/>
          <w:b/>
          <w:bCs/>
          <w:rtl/>
        </w:rPr>
        <w:t>ה</w:t>
      </w:r>
      <w:r w:rsidRPr="00025CF0">
        <w:rPr>
          <w:rFonts w:ascii="David" w:hAnsi="David" w:hint="cs"/>
          <w:b/>
          <w:bCs/>
          <w:rtl/>
        </w:rPr>
        <w:t>שופט יחיאל ליפשיץ:</w:t>
      </w:r>
    </w:p>
    <w:p w:rsidR="00C874BD" w:rsidRPr="00025CF0" w:rsidRDefault="00C874BD" w:rsidP="00272CAC">
      <w:pPr>
        <w:spacing w:line="360" w:lineRule="auto"/>
        <w:ind w:firstLine="360"/>
        <w:jc w:val="both"/>
        <w:rPr>
          <w:rFonts w:ascii="David" w:hAnsi="David"/>
          <w:b/>
          <w:bCs/>
          <w:rtl/>
        </w:rPr>
      </w:pPr>
    </w:p>
    <w:p w:rsidR="00272CAC" w:rsidRPr="009A6DE6" w:rsidRDefault="00272CAC" w:rsidP="00272CAC">
      <w:pPr>
        <w:spacing w:line="360" w:lineRule="auto"/>
        <w:ind w:firstLine="360"/>
        <w:jc w:val="both"/>
        <w:rPr>
          <w:rFonts w:ascii="David" w:hAnsi="David"/>
          <w:b/>
          <w:bCs/>
          <w:sz w:val="28"/>
          <w:szCs w:val="28"/>
          <w:u w:val="single"/>
          <w:rtl/>
        </w:rPr>
      </w:pPr>
      <w:r w:rsidRPr="009A6DE6">
        <w:rPr>
          <w:rFonts w:ascii="David" w:hAnsi="David" w:hint="cs"/>
          <w:b/>
          <w:bCs/>
          <w:sz w:val="28"/>
          <w:szCs w:val="28"/>
          <w:u w:val="single"/>
          <w:rtl/>
        </w:rPr>
        <w:t>פרק א' - מבוא</w:t>
      </w: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ביום 18.2.21 בשעות הערב נורה למוות נעים מאדי ז"ל (להלן: </w:t>
      </w:r>
      <w:r w:rsidRPr="00846330">
        <w:rPr>
          <w:rFonts w:ascii="David" w:hAnsi="David" w:cs="David" w:hint="cs"/>
          <w:b/>
          <w:bCs/>
          <w:sz w:val="24"/>
          <w:szCs w:val="24"/>
          <w:rtl/>
        </w:rPr>
        <w:t>המנוח</w:t>
      </w:r>
      <w:r>
        <w:rPr>
          <w:rFonts w:ascii="David" w:hAnsi="David" w:cs="David" w:hint="cs"/>
          <w:sz w:val="24"/>
          <w:szCs w:val="24"/>
          <w:rtl/>
        </w:rPr>
        <w:t xml:space="preserve">), לוחם בשירות חובה ביחידת מג"ב שבסיסה בעכו. הדבר התרחש בעת שחברו לחדר וליחידה, הוא הנאשם, ביצע מה שמכונה לעתים "משחק" באקדח השירות שלו, כשהוא עומד סמוך למיטה בה שכב המנוח בחדרם שבבסיס. </w:t>
      </w:r>
    </w:p>
    <w:p w:rsidR="00272CAC" w:rsidRPr="00695C67"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תחילה</w:t>
      </w:r>
      <w:r w:rsidRPr="00040196">
        <w:rPr>
          <w:rFonts w:ascii="David" w:hAnsi="David" w:cs="David" w:hint="cs"/>
          <w:sz w:val="24"/>
          <w:szCs w:val="24"/>
          <w:rtl/>
        </w:rPr>
        <w:t xml:space="preserve"> הוגש כנגד הנאשם כתב אישום שהעבירה העיקרית בו היתה </w:t>
      </w:r>
      <w:r w:rsidRPr="00040196">
        <w:rPr>
          <w:rFonts w:ascii="David" w:hAnsi="David" w:cs="David" w:hint="cs"/>
          <w:sz w:val="24"/>
          <w:szCs w:val="24"/>
          <w:u w:val="single"/>
          <w:rtl/>
        </w:rPr>
        <w:t xml:space="preserve">המתה בקלות דעת </w:t>
      </w:r>
      <w:r w:rsidRPr="00040196">
        <w:rPr>
          <w:rFonts w:ascii="David" w:hAnsi="David" w:cs="David" w:hint="cs"/>
          <w:sz w:val="24"/>
          <w:szCs w:val="24"/>
          <w:rtl/>
        </w:rPr>
        <w:t>(כתב האישום מיום 10.3.21). בטרם תשובת הנאשם לכתב האישום</w:t>
      </w:r>
      <w:r>
        <w:rPr>
          <w:rFonts w:ascii="David" w:hAnsi="David" w:cs="David" w:hint="cs"/>
          <w:sz w:val="24"/>
          <w:szCs w:val="24"/>
          <w:rtl/>
        </w:rPr>
        <w:t>;</w:t>
      </w:r>
      <w:r w:rsidRPr="00040196">
        <w:rPr>
          <w:rFonts w:ascii="David" w:hAnsi="David" w:cs="David" w:hint="cs"/>
          <w:sz w:val="24"/>
          <w:szCs w:val="24"/>
          <w:rtl/>
        </w:rPr>
        <w:t xml:space="preserve"> בעקבות פנייה של משפחת המנוח למאשימה</w:t>
      </w:r>
      <w:r>
        <w:rPr>
          <w:rFonts w:ascii="David" w:hAnsi="David" w:cs="David" w:hint="cs"/>
          <w:sz w:val="24"/>
          <w:szCs w:val="24"/>
          <w:rtl/>
        </w:rPr>
        <w:t xml:space="preserve"> כדי שזו תשנה את סעיף האישום לרצח, שסורבה; לאחר </w:t>
      </w:r>
      <w:r w:rsidRPr="00040196">
        <w:rPr>
          <w:rFonts w:ascii="David" w:hAnsi="David" w:cs="David" w:hint="cs"/>
          <w:sz w:val="24"/>
          <w:szCs w:val="24"/>
          <w:rtl/>
        </w:rPr>
        <w:t>עתיר</w:t>
      </w:r>
      <w:r>
        <w:rPr>
          <w:rFonts w:ascii="David" w:hAnsi="David" w:cs="David" w:hint="cs"/>
          <w:sz w:val="24"/>
          <w:szCs w:val="24"/>
          <w:rtl/>
        </w:rPr>
        <w:t xml:space="preserve">ת המשפחה לבית המשפט העליון בשבתו </w:t>
      </w:r>
      <w:r w:rsidRPr="00040196">
        <w:rPr>
          <w:rFonts w:ascii="David" w:hAnsi="David" w:cs="David" w:hint="cs"/>
          <w:sz w:val="24"/>
          <w:szCs w:val="24"/>
          <w:rtl/>
        </w:rPr>
        <w:t xml:space="preserve">כבג"צ </w:t>
      </w:r>
      <w:r>
        <w:rPr>
          <w:rFonts w:ascii="David" w:hAnsi="David" w:cs="David" w:hint="cs"/>
          <w:sz w:val="24"/>
          <w:szCs w:val="24"/>
          <w:rtl/>
        </w:rPr>
        <w:t>כנגד ה</w:t>
      </w:r>
      <w:r w:rsidRPr="00040196">
        <w:rPr>
          <w:rFonts w:ascii="David" w:hAnsi="David" w:cs="David" w:hint="cs"/>
          <w:sz w:val="24"/>
          <w:szCs w:val="24"/>
          <w:rtl/>
        </w:rPr>
        <w:t>החלט</w:t>
      </w:r>
      <w:r>
        <w:rPr>
          <w:rFonts w:ascii="David" w:hAnsi="David" w:cs="David" w:hint="cs"/>
          <w:sz w:val="24"/>
          <w:szCs w:val="24"/>
          <w:rtl/>
        </w:rPr>
        <w:t xml:space="preserve">ה לעיל של </w:t>
      </w:r>
      <w:r w:rsidRPr="00040196">
        <w:rPr>
          <w:rFonts w:ascii="David" w:hAnsi="David" w:cs="David" w:hint="cs"/>
          <w:sz w:val="24"/>
          <w:szCs w:val="24"/>
          <w:rtl/>
        </w:rPr>
        <w:t>המאשימה (בג"צ 2854/21)</w:t>
      </w:r>
      <w:r>
        <w:rPr>
          <w:rFonts w:ascii="David" w:hAnsi="David" w:cs="David" w:hint="cs"/>
          <w:sz w:val="24"/>
          <w:szCs w:val="24"/>
          <w:rtl/>
        </w:rPr>
        <w:t>;</w:t>
      </w:r>
      <w:r w:rsidRPr="00040196">
        <w:rPr>
          <w:rFonts w:ascii="David" w:hAnsi="David" w:cs="David" w:hint="cs"/>
          <w:sz w:val="24"/>
          <w:szCs w:val="24"/>
          <w:rtl/>
        </w:rPr>
        <w:t xml:space="preserve"> ו</w:t>
      </w:r>
      <w:r>
        <w:rPr>
          <w:rFonts w:ascii="David" w:hAnsi="David" w:cs="David" w:hint="cs"/>
          <w:sz w:val="24"/>
          <w:szCs w:val="24"/>
          <w:rtl/>
        </w:rPr>
        <w:t xml:space="preserve">לאחר </w:t>
      </w:r>
      <w:r w:rsidRPr="00040196">
        <w:rPr>
          <w:rFonts w:ascii="David" w:hAnsi="David" w:cs="David" w:hint="cs"/>
          <w:sz w:val="24"/>
          <w:szCs w:val="24"/>
          <w:rtl/>
        </w:rPr>
        <w:t>הערכה מחודשת של חומר הראיות על ידי המאשימה, ביקשה האחרונה לתקן את כתב האישום באופן שסעיף העבירה המרכזי יומר ל</w:t>
      </w:r>
      <w:r w:rsidRPr="00040196">
        <w:rPr>
          <w:rFonts w:ascii="David" w:hAnsi="David" w:cs="David" w:hint="cs"/>
          <w:sz w:val="24"/>
          <w:szCs w:val="24"/>
          <w:u w:val="single"/>
          <w:rtl/>
        </w:rPr>
        <w:t>רצח באדישות</w:t>
      </w:r>
      <w:r w:rsidRPr="00040196">
        <w:rPr>
          <w:rFonts w:ascii="David" w:hAnsi="David" w:cs="David" w:hint="cs"/>
          <w:sz w:val="24"/>
          <w:szCs w:val="24"/>
          <w:rtl/>
        </w:rPr>
        <w:t>. הבקשה התקבלה ביום 5.8.21, ומשום כך הועבר התיק מהמותב לפניו נדון ההליך עד אותו שלב (דן יחיד) להמשך דיון לפנינו</w:t>
      </w:r>
      <w:r>
        <w:rPr>
          <w:rFonts w:ascii="David" w:hAnsi="David" w:cs="David" w:hint="cs"/>
          <w:sz w:val="24"/>
          <w:szCs w:val="24"/>
          <w:rtl/>
        </w:rPr>
        <w:t>,</w:t>
      </w:r>
      <w:r w:rsidRPr="00040196">
        <w:rPr>
          <w:rFonts w:ascii="David" w:hAnsi="David" w:cs="David" w:hint="cs"/>
          <w:sz w:val="24"/>
          <w:szCs w:val="24"/>
          <w:rtl/>
        </w:rPr>
        <w:t xml:space="preserve"> כמותב תלתא. </w:t>
      </w:r>
    </w:p>
    <w:p w:rsidR="00272CAC" w:rsidRPr="004E50EC"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sidRPr="00040196">
        <w:rPr>
          <w:rFonts w:ascii="David" w:hAnsi="David" w:cs="David" w:hint="cs"/>
          <w:sz w:val="24"/>
          <w:szCs w:val="24"/>
          <w:rtl/>
        </w:rPr>
        <w:t xml:space="preserve">כתבי האישום לעיל, הן המקורי והן המתוקן, כללו אישומים נוספים (אישומים 2 עד 10) שייחסו לנאשם עבירות של איומים, מעשי פזיזות ורשלנות בהקשר לנשק ועבירות נוספות שנגעו למקרים </w:t>
      </w:r>
      <w:r w:rsidRPr="00267CDF">
        <w:rPr>
          <w:rFonts w:ascii="David" w:hAnsi="David" w:cs="David" w:hint="cs"/>
          <w:sz w:val="24"/>
          <w:szCs w:val="24"/>
          <w:u w:val="single"/>
          <w:rtl/>
        </w:rPr>
        <w:t>אחרים</w:t>
      </w:r>
      <w:r>
        <w:rPr>
          <w:rFonts w:ascii="David" w:hAnsi="David" w:cs="David" w:hint="cs"/>
          <w:sz w:val="24"/>
          <w:szCs w:val="24"/>
          <w:rtl/>
        </w:rPr>
        <w:t>, קודמים ליום האירוע לעיל, ש</w:t>
      </w:r>
      <w:r w:rsidRPr="00040196">
        <w:rPr>
          <w:rFonts w:ascii="David" w:hAnsi="David" w:cs="David" w:hint="cs"/>
          <w:sz w:val="24"/>
          <w:szCs w:val="24"/>
          <w:rtl/>
        </w:rPr>
        <w:t xml:space="preserve">בהם כיוון הנאשם את אקדחו כלפי חבריו ליחידה, לעתים תוך כדי דריכת האקדח; וכן </w:t>
      </w:r>
      <w:r>
        <w:rPr>
          <w:rFonts w:ascii="David" w:hAnsi="David" w:cs="David" w:hint="cs"/>
          <w:sz w:val="24"/>
          <w:szCs w:val="24"/>
          <w:rtl/>
        </w:rPr>
        <w:t>ל</w:t>
      </w:r>
      <w:r w:rsidRPr="00040196">
        <w:rPr>
          <w:rFonts w:ascii="David" w:hAnsi="David" w:cs="David" w:hint="cs"/>
          <w:sz w:val="24"/>
          <w:szCs w:val="24"/>
          <w:rtl/>
        </w:rPr>
        <w:t xml:space="preserve">מקרים בהם איים או תקף את חבריו ליחידה. </w:t>
      </w:r>
    </w:p>
    <w:p w:rsidR="00272CAC" w:rsidRPr="00A11AC1" w:rsidRDefault="00272CAC" w:rsidP="00272CAC">
      <w:pPr>
        <w:pStyle w:val="ac"/>
        <w:rPr>
          <w:rFonts w:ascii="David" w:hAnsi="David" w:cs="David"/>
          <w:sz w:val="24"/>
          <w:szCs w:val="24"/>
          <w:rtl/>
        </w:rPr>
      </w:pPr>
    </w:p>
    <w:p w:rsidR="00272CAC" w:rsidRPr="00040196" w:rsidRDefault="00272CAC" w:rsidP="00272CAC">
      <w:pPr>
        <w:pStyle w:val="ac"/>
        <w:spacing w:after="0" w:line="360" w:lineRule="auto"/>
        <w:ind w:left="360"/>
        <w:jc w:val="both"/>
        <w:rPr>
          <w:rFonts w:ascii="David" w:hAnsi="David" w:cs="David"/>
          <w:sz w:val="24"/>
          <w:szCs w:val="24"/>
          <w:u w:val="single"/>
        </w:rPr>
      </w:pPr>
      <w:r w:rsidRPr="00040196">
        <w:rPr>
          <w:rFonts w:ascii="David" w:hAnsi="David" w:cs="David" w:hint="cs"/>
          <w:sz w:val="24"/>
          <w:szCs w:val="24"/>
          <w:rtl/>
        </w:rPr>
        <w:t>ביום 13.11.22 לאחר שנשמע</w:t>
      </w:r>
      <w:r>
        <w:rPr>
          <w:rFonts w:ascii="David" w:hAnsi="David" w:cs="David" w:hint="cs"/>
          <w:sz w:val="24"/>
          <w:szCs w:val="24"/>
          <w:rtl/>
        </w:rPr>
        <w:t>ו</w:t>
      </w:r>
      <w:r w:rsidRPr="00040196">
        <w:rPr>
          <w:rFonts w:ascii="David" w:hAnsi="David" w:cs="David" w:hint="cs"/>
          <w:sz w:val="24"/>
          <w:szCs w:val="24"/>
          <w:rtl/>
        </w:rPr>
        <w:t xml:space="preserve"> חלק ניכר מעדי התביעה, הגיעו הצדדים </w:t>
      </w:r>
      <w:r w:rsidRPr="00040196">
        <w:rPr>
          <w:rFonts w:ascii="David" w:hAnsi="David" w:cs="David"/>
          <w:sz w:val="24"/>
          <w:szCs w:val="24"/>
          <w:rtl/>
        </w:rPr>
        <w:t>–</w:t>
      </w:r>
      <w:r w:rsidRPr="00040196">
        <w:rPr>
          <w:rFonts w:ascii="David" w:hAnsi="David" w:cs="David" w:hint="cs"/>
          <w:sz w:val="24"/>
          <w:szCs w:val="24"/>
          <w:rtl/>
        </w:rPr>
        <w:t xml:space="preserve"> בעקבות הליך גישור שהתנהל לפני כב</w:t>
      </w:r>
      <w:r>
        <w:rPr>
          <w:rFonts w:ascii="David" w:hAnsi="David" w:cs="David" w:hint="cs"/>
          <w:sz w:val="24"/>
          <w:szCs w:val="24"/>
          <w:rtl/>
        </w:rPr>
        <w:t>וד</w:t>
      </w:r>
      <w:r w:rsidRPr="00040196">
        <w:rPr>
          <w:rFonts w:ascii="David" w:hAnsi="David" w:cs="David" w:hint="cs"/>
          <w:sz w:val="24"/>
          <w:szCs w:val="24"/>
          <w:rtl/>
        </w:rPr>
        <w:t xml:space="preserve"> השופט ארז פורת </w:t>
      </w:r>
      <w:r w:rsidRPr="00040196">
        <w:rPr>
          <w:rFonts w:ascii="David" w:hAnsi="David" w:cs="David"/>
          <w:sz w:val="24"/>
          <w:szCs w:val="24"/>
          <w:rtl/>
        </w:rPr>
        <w:t>–</w:t>
      </w:r>
      <w:r w:rsidRPr="00040196">
        <w:rPr>
          <w:rFonts w:ascii="David" w:hAnsi="David" w:cs="David" w:hint="cs"/>
          <w:sz w:val="24"/>
          <w:szCs w:val="24"/>
          <w:rtl/>
        </w:rPr>
        <w:t xml:space="preserve"> להסדר טיעון חלקי. על פי ההסדר, תוקן כתב האישום </w:t>
      </w:r>
      <w:r w:rsidRPr="00695C67">
        <w:rPr>
          <w:rFonts w:ascii="David" w:hAnsi="David" w:cs="David" w:hint="cs"/>
          <w:sz w:val="24"/>
          <w:szCs w:val="24"/>
          <w:u w:val="single"/>
          <w:rtl/>
        </w:rPr>
        <w:t>באופן שאישומים 2 עד 10 "צומצמו"</w:t>
      </w:r>
      <w:r>
        <w:rPr>
          <w:rFonts w:ascii="David" w:hAnsi="David" w:cs="David" w:hint="cs"/>
          <w:sz w:val="24"/>
          <w:szCs w:val="24"/>
          <w:u w:val="single"/>
          <w:rtl/>
        </w:rPr>
        <w:t xml:space="preserve"> לאישום אחד</w:t>
      </w:r>
      <w:r w:rsidRPr="00695C67">
        <w:rPr>
          <w:rFonts w:ascii="David" w:hAnsi="David" w:cs="David" w:hint="cs"/>
          <w:sz w:val="24"/>
          <w:szCs w:val="24"/>
          <w:u w:val="single"/>
          <w:rtl/>
        </w:rPr>
        <w:t>, תוך שינויים עובדתיים ומשפטיים - הוא אישום 2 דהיום</w:t>
      </w:r>
      <w:r w:rsidRPr="00040196">
        <w:rPr>
          <w:rFonts w:ascii="David" w:hAnsi="David" w:cs="David" w:hint="cs"/>
          <w:sz w:val="24"/>
          <w:szCs w:val="24"/>
          <w:rtl/>
        </w:rPr>
        <w:t xml:space="preserve">. אישום זה כולל מספר מקרים בהם ביצע הנאשם מעשי פזיזות ורשלנות בנשק וכן איים ותקף את חבריו ליחידה. </w:t>
      </w:r>
      <w:r w:rsidRPr="00040196">
        <w:rPr>
          <w:rFonts w:ascii="David" w:hAnsi="David" w:cs="David" w:hint="cs"/>
          <w:sz w:val="24"/>
          <w:szCs w:val="24"/>
          <w:u w:val="single"/>
          <w:rtl/>
        </w:rPr>
        <w:t>כתב האישום המתוקן מיום 13.11.22 ייקרא מעתה ואילך ככתב האישום המתוקן</w:t>
      </w:r>
      <w:r w:rsidRPr="00040196">
        <w:rPr>
          <w:rFonts w:ascii="David" w:hAnsi="David" w:cs="David" w:hint="cs"/>
          <w:sz w:val="24"/>
          <w:szCs w:val="24"/>
          <w:rtl/>
        </w:rPr>
        <w:t xml:space="preserve">. </w:t>
      </w:r>
    </w:p>
    <w:p w:rsidR="00272CAC" w:rsidRPr="00040196" w:rsidRDefault="00272CAC" w:rsidP="00272CAC">
      <w:pPr>
        <w:pStyle w:val="ac"/>
        <w:rPr>
          <w:rFonts w:ascii="David" w:hAnsi="David" w:cs="David"/>
          <w:sz w:val="24"/>
          <w:szCs w:val="24"/>
          <w:u w:val="single"/>
          <w:rtl/>
        </w:rPr>
      </w:pPr>
    </w:p>
    <w:p w:rsidR="00272CAC" w:rsidRPr="00267CDF" w:rsidRDefault="00272CAC" w:rsidP="00272CAC">
      <w:pPr>
        <w:pStyle w:val="ac"/>
        <w:spacing w:after="0" w:line="360" w:lineRule="auto"/>
        <w:ind w:left="360"/>
        <w:jc w:val="both"/>
        <w:rPr>
          <w:rFonts w:ascii="David" w:hAnsi="David" w:cs="David"/>
          <w:sz w:val="24"/>
          <w:szCs w:val="24"/>
          <w:rtl/>
        </w:rPr>
      </w:pPr>
      <w:r w:rsidRPr="001451E6">
        <w:rPr>
          <w:rFonts w:ascii="David" w:hAnsi="David" w:cs="David" w:hint="cs"/>
          <w:sz w:val="24"/>
          <w:szCs w:val="24"/>
          <w:u w:val="single"/>
          <w:rtl/>
        </w:rPr>
        <w:t>הנאשם הודה</w:t>
      </w:r>
      <w:r w:rsidRPr="00267CDF">
        <w:rPr>
          <w:rFonts w:ascii="David" w:hAnsi="David" w:cs="David" w:hint="cs"/>
          <w:sz w:val="24"/>
          <w:szCs w:val="24"/>
          <w:rtl/>
        </w:rPr>
        <w:t xml:space="preserve"> במיוחס לו </w:t>
      </w:r>
      <w:r w:rsidRPr="00267CDF">
        <w:rPr>
          <w:rFonts w:ascii="David" w:hAnsi="David" w:cs="David" w:hint="cs"/>
          <w:sz w:val="24"/>
          <w:szCs w:val="24"/>
          <w:u w:val="single"/>
          <w:rtl/>
        </w:rPr>
        <w:t>באישום השני</w:t>
      </w:r>
      <w:r w:rsidRPr="00267CDF">
        <w:rPr>
          <w:rFonts w:ascii="David" w:hAnsi="David" w:cs="David" w:hint="cs"/>
          <w:sz w:val="24"/>
          <w:szCs w:val="24"/>
          <w:rtl/>
        </w:rPr>
        <w:t xml:space="preserve"> </w:t>
      </w:r>
      <w:r>
        <w:rPr>
          <w:rFonts w:ascii="David" w:hAnsi="David" w:cs="David" w:hint="cs"/>
          <w:sz w:val="24"/>
          <w:szCs w:val="24"/>
          <w:rtl/>
        </w:rPr>
        <w:t xml:space="preserve">לעיל </w:t>
      </w:r>
      <w:r w:rsidRPr="00267CDF">
        <w:rPr>
          <w:rFonts w:ascii="David" w:hAnsi="David" w:cs="David" w:hint="cs"/>
          <w:sz w:val="24"/>
          <w:szCs w:val="24"/>
          <w:rtl/>
        </w:rPr>
        <w:t xml:space="preserve">בכתב האישום המתוקן; </w:t>
      </w:r>
      <w:r w:rsidRPr="001451E6">
        <w:rPr>
          <w:rFonts w:ascii="David" w:hAnsi="David" w:cs="David" w:hint="cs"/>
          <w:b/>
          <w:bCs/>
          <w:sz w:val="24"/>
          <w:szCs w:val="24"/>
          <w:rtl/>
        </w:rPr>
        <w:t>ויריעת המחלוקת</w:t>
      </w:r>
      <w:r>
        <w:rPr>
          <w:rFonts w:ascii="David" w:hAnsi="David" w:cs="David" w:hint="cs"/>
          <w:b/>
          <w:bCs/>
          <w:sz w:val="24"/>
          <w:szCs w:val="24"/>
          <w:rtl/>
        </w:rPr>
        <w:t>, שהיא משפטית בעיקרה,</w:t>
      </w:r>
      <w:r w:rsidRPr="001451E6">
        <w:rPr>
          <w:rFonts w:ascii="David" w:hAnsi="David" w:cs="David" w:hint="cs"/>
          <w:b/>
          <w:bCs/>
          <w:sz w:val="24"/>
          <w:szCs w:val="24"/>
          <w:rtl/>
        </w:rPr>
        <w:t xml:space="preserve"> נותרה אם כן רק בנוגע לאישום המרכזי המייחס לו כאמור רצח באדישות ועבירה נלווית נוספת של שיבוש מהלכי משפט בהקשר למעשיו לאחר שירה במנוח</w:t>
      </w:r>
      <w:r w:rsidRPr="00267CDF">
        <w:rPr>
          <w:rFonts w:ascii="David" w:hAnsi="David" w:cs="David" w:hint="cs"/>
          <w:sz w:val="24"/>
          <w:szCs w:val="24"/>
          <w:rtl/>
        </w:rPr>
        <w:t>.</w:t>
      </w:r>
    </w:p>
    <w:p w:rsidR="00272CAC" w:rsidRDefault="00272CAC" w:rsidP="00272CAC">
      <w:pPr>
        <w:spacing w:line="360" w:lineRule="auto"/>
        <w:jc w:val="both"/>
        <w:rPr>
          <w:rFonts w:ascii="David" w:hAnsi="David"/>
          <w:rtl/>
        </w:rPr>
      </w:pPr>
    </w:p>
    <w:p w:rsidR="00272CAC" w:rsidRPr="009A6DE6" w:rsidRDefault="00272CAC" w:rsidP="00272CAC">
      <w:pPr>
        <w:spacing w:line="360" w:lineRule="auto"/>
        <w:ind w:firstLine="360"/>
        <w:jc w:val="both"/>
        <w:rPr>
          <w:rFonts w:ascii="David" w:hAnsi="David"/>
          <w:u w:val="single"/>
          <w:rtl/>
        </w:rPr>
      </w:pPr>
      <w:r w:rsidRPr="009A6DE6">
        <w:rPr>
          <w:rFonts w:ascii="David" w:hAnsi="David"/>
          <w:u w:val="single"/>
          <w:rtl/>
        </w:rPr>
        <w:t>תמצית כתב האישום המתוקן</w:t>
      </w:r>
    </w:p>
    <w:p w:rsidR="00272CAC" w:rsidRPr="00CC40FD" w:rsidRDefault="00272CAC" w:rsidP="00272CAC">
      <w:pPr>
        <w:pStyle w:val="ac"/>
        <w:numPr>
          <w:ilvl w:val="0"/>
          <w:numId w:val="14"/>
        </w:numPr>
        <w:spacing w:after="0" w:line="360" w:lineRule="auto"/>
        <w:jc w:val="both"/>
        <w:rPr>
          <w:rFonts w:ascii="David" w:hAnsi="David" w:cs="David"/>
          <w:sz w:val="24"/>
          <w:szCs w:val="24"/>
        </w:rPr>
      </w:pPr>
      <w:r w:rsidRPr="00445421">
        <w:rPr>
          <w:rFonts w:ascii="David" w:hAnsi="David" w:cs="David"/>
          <w:sz w:val="24"/>
          <w:szCs w:val="24"/>
          <w:u w:val="single"/>
          <w:rtl/>
        </w:rPr>
        <w:t>בחלק הכללי</w:t>
      </w:r>
      <w:r w:rsidRPr="00CC40FD">
        <w:rPr>
          <w:rFonts w:ascii="David" w:hAnsi="David" w:cs="David"/>
          <w:sz w:val="24"/>
          <w:szCs w:val="24"/>
          <w:rtl/>
        </w:rPr>
        <w:t xml:space="preserve"> של כתב האישום המתוקן צוין כי בתקופה הרלוונטית לכתב האישום שירת הנאשם כשוטר בשירות חובה בסיירת משמר הגבול (להלן: </w:t>
      </w:r>
      <w:r w:rsidRPr="00CC40FD">
        <w:rPr>
          <w:rFonts w:ascii="David" w:hAnsi="David" w:cs="David"/>
          <w:b/>
          <w:bCs/>
          <w:sz w:val="24"/>
          <w:szCs w:val="24"/>
          <w:rtl/>
        </w:rPr>
        <w:t>הפלוגה</w:t>
      </w:r>
      <w:r w:rsidRPr="00CC40FD">
        <w:rPr>
          <w:rFonts w:ascii="David" w:hAnsi="David" w:cs="David"/>
          <w:sz w:val="24"/>
          <w:szCs w:val="24"/>
          <w:rtl/>
        </w:rPr>
        <w:t xml:space="preserve">), בבסיס מג"ב 'סמ"ג חוף', </w:t>
      </w:r>
      <w:r>
        <w:rPr>
          <w:rFonts w:ascii="David" w:hAnsi="David" w:cs="David" w:hint="cs"/>
          <w:sz w:val="24"/>
          <w:szCs w:val="24"/>
          <w:rtl/>
        </w:rPr>
        <w:t>ב</w:t>
      </w:r>
      <w:r w:rsidRPr="00CC40FD">
        <w:rPr>
          <w:rFonts w:ascii="David" w:hAnsi="David" w:cs="David"/>
          <w:sz w:val="24"/>
          <w:szCs w:val="24"/>
          <w:rtl/>
        </w:rPr>
        <w:t>תחנת המשטרה שב</w:t>
      </w:r>
      <w:r>
        <w:rPr>
          <w:rFonts w:ascii="David" w:hAnsi="David" w:cs="David" w:hint="cs"/>
          <w:sz w:val="24"/>
          <w:szCs w:val="24"/>
          <w:rtl/>
        </w:rPr>
        <w:t xml:space="preserve">עכו </w:t>
      </w:r>
      <w:r w:rsidRPr="00CC40FD">
        <w:rPr>
          <w:rFonts w:ascii="David" w:hAnsi="David" w:cs="David"/>
          <w:sz w:val="24"/>
          <w:szCs w:val="24"/>
          <w:rtl/>
        </w:rPr>
        <w:t xml:space="preserve">(להלן: </w:t>
      </w:r>
      <w:r w:rsidRPr="00CC40FD">
        <w:rPr>
          <w:rFonts w:ascii="David" w:hAnsi="David" w:cs="David"/>
          <w:b/>
          <w:bCs/>
          <w:sz w:val="24"/>
          <w:szCs w:val="24"/>
          <w:rtl/>
        </w:rPr>
        <w:t>הבסיס</w:t>
      </w:r>
      <w:r w:rsidRPr="00CC40FD">
        <w:rPr>
          <w:rFonts w:ascii="David" w:hAnsi="David" w:cs="David"/>
          <w:sz w:val="24"/>
          <w:szCs w:val="24"/>
          <w:rtl/>
        </w:rPr>
        <w:t xml:space="preserve">). יחד עם הנאשם שירת גם </w:t>
      </w:r>
      <w:r>
        <w:rPr>
          <w:rFonts w:ascii="David" w:hAnsi="David" w:cs="David" w:hint="cs"/>
          <w:sz w:val="24"/>
          <w:szCs w:val="24"/>
          <w:rtl/>
        </w:rPr>
        <w:t>המנוח,</w:t>
      </w:r>
      <w:r w:rsidRPr="00CC40FD">
        <w:rPr>
          <w:rFonts w:ascii="David" w:hAnsi="David" w:cs="David"/>
          <w:sz w:val="24"/>
          <w:szCs w:val="24"/>
          <w:rtl/>
        </w:rPr>
        <w:t xml:space="preserve"> שהיה אף הוא שוטר חובה במג"ב, והשניים חלקו חדר מגורים משותף בבסיס (להלן: </w:t>
      </w:r>
      <w:r w:rsidRPr="00CC40FD">
        <w:rPr>
          <w:rFonts w:ascii="David" w:hAnsi="David" w:cs="David"/>
          <w:b/>
          <w:bCs/>
          <w:sz w:val="24"/>
          <w:szCs w:val="24"/>
          <w:rtl/>
        </w:rPr>
        <w:t>חדר המגורים</w:t>
      </w:r>
      <w:r w:rsidRPr="00CC40FD">
        <w:rPr>
          <w:rFonts w:ascii="David" w:hAnsi="David" w:cs="David"/>
          <w:sz w:val="24"/>
          <w:szCs w:val="24"/>
          <w:rtl/>
        </w:rPr>
        <w:t>).</w:t>
      </w:r>
      <w:r>
        <w:rPr>
          <w:rFonts w:ascii="David" w:hAnsi="David" w:cs="David" w:hint="cs"/>
          <w:sz w:val="24"/>
          <w:szCs w:val="24"/>
          <w:rtl/>
        </w:rPr>
        <w:t xml:space="preserve"> </w:t>
      </w:r>
      <w:r w:rsidRPr="00CC40FD">
        <w:rPr>
          <w:rFonts w:ascii="David" w:hAnsi="David" w:cs="David"/>
          <w:sz w:val="24"/>
          <w:szCs w:val="24"/>
          <w:rtl/>
        </w:rPr>
        <w:t>עוד בחלק הכללי של כתב האישום המתוקן</w:t>
      </w:r>
      <w:r>
        <w:rPr>
          <w:rFonts w:ascii="David" w:hAnsi="David" w:cs="David" w:hint="cs"/>
          <w:sz w:val="24"/>
          <w:szCs w:val="24"/>
          <w:rtl/>
        </w:rPr>
        <w:t>,</w:t>
      </w:r>
      <w:r w:rsidRPr="00CC40FD">
        <w:rPr>
          <w:rFonts w:ascii="David" w:hAnsi="David" w:cs="David"/>
          <w:sz w:val="24"/>
          <w:szCs w:val="24"/>
          <w:rtl/>
        </w:rPr>
        <w:t xml:space="preserve"> תוארה התנהגות הנאשם בתקופה שבין חודש יולי 2020 </w:t>
      </w:r>
      <w:r>
        <w:rPr>
          <w:rFonts w:ascii="David" w:hAnsi="David" w:cs="David" w:hint="cs"/>
          <w:sz w:val="24"/>
          <w:szCs w:val="24"/>
          <w:rtl/>
        </w:rPr>
        <w:t xml:space="preserve">(המועד בו סיים קורס יסמ"ג) ועד המועד בו ירה למוות במנוח ביום </w:t>
      </w:r>
      <w:r w:rsidRPr="00CC40FD">
        <w:rPr>
          <w:rFonts w:ascii="David" w:hAnsi="David" w:cs="David"/>
          <w:sz w:val="24"/>
          <w:szCs w:val="24"/>
          <w:rtl/>
        </w:rPr>
        <w:t xml:space="preserve">18.2.21 </w:t>
      </w:r>
      <w:r>
        <w:rPr>
          <w:rFonts w:ascii="David" w:hAnsi="David" w:cs="David" w:hint="cs"/>
          <w:sz w:val="24"/>
          <w:szCs w:val="24"/>
          <w:rtl/>
        </w:rPr>
        <w:t>(</w:t>
      </w:r>
      <w:r w:rsidRPr="00CC40FD">
        <w:rPr>
          <w:rFonts w:ascii="David" w:hAnsi="David" w:cs="David"/>
          <w:sz w:val="24"/>
          <w:szCs w:val="24"/>
          <w:rtl/>
        </w:rPr>
        <w:t xml:space="preserve">להלן: </w:t>
      </w:r>
      <w:r w:rsidRPr="00CC40FD">
        <w:rPr>
          <w:rFonts w:ascii="David" w:hAnsi="David" w:cs="David"/>
          <w:b/>
          <w:bCs/>
          <w:sz w:val="24"/>
          <w:szCs w:val="24"/>
          <w:rtl/>
        </w:rPr>
        <w:t>התקופה הרלוונטית</w:t>
      </w:r>
      <w:r w:rsidRPr="00CC40FD">
        <w:rPr>
          <w:rFonts w:ascii="David" w:hAnsi="David" w:cs="David"/>
          <w:sz w:val="24"/>
          <w:szCs w:val="24"/>
          <w:rtl/>
        </w:rPr>
        <w:t>)</w:t>
      </w:r>
      <w:r>
        <w:rPr>
          <w:rFonts w:ascii="David" w:hAnsi="David" w:cs="David" w:hint="cs"/>
          <w:sz w:val="24"/>
          <w:szCs w:val="24"/>
          <w:rtl/>
        </w:rPr>
        <w:t xml:space="preserve">. נטען כי </w:t>
      </w:r>
      <w:r w:rsidRPr="00CC40FD">
        <w:rPr>
          <w:rFonts w:ascii="David" w:hAnsi="David" w:cs="David"/>
          <w:sz w:val="24"/>
          <w:szCs w:val="24"/>
          <w:rtl/>
        </w:rPr>
        <w:t>הנאשם</w:t>
      </w:r>
      <w:r>
        <w:rPr>
          <w:rFonts w:ascii="David" w:hAnsi="David" w:cs="David" w:hint="cs"/>
          <w:sz w:val="24"/>
          <w:szCs w:val="24"/>
          <w:rtl/>
        </w:rPr>
        <w:t xml:space="preserve"> נהג </w:t>
      </w:r>
      <w:r w:rsidRPr="00CC40FD">
        <w:rPr>
          <w:rFonts w:ascii="David" w:hAnsi="David" w:cs="David"/>
          <w:sz w:val="24"/>
          <w:szCs w:val="24"/>
          <w:rtl/>
        </w:rPr>
        <w:t xml:space="preserve">כבדרך קבע </w:t>
      </w:r>
      <w:r w:rsidRPr="00445421">
        <w:rPr>
          <w:rFonts w:ascii="David" w:hAnsi="David" w:cs="David" w:hint="cs"/>
          <w:sz w:val="24"/>
          <w:szCs w:val="24"/>
          <w:rtl/>
        </w:rPr>
        <w:t>"</w:t>
      </w:r>
      <w:r w:rsidRPr="00445421">
        <w:rPr>
          <w:rFonts w:ascii="David" w:hAnsi="David" w:cs="David"/>
          <w:sz w:val="24"/>
          <w:szCs w:val="24"/>
          <w:rtl/>
        </w:rPr>
        <w:t>לשחק</w:t>
      </w:r>
      <w:r w:rsidRPr="00445421">
        <w:rPr>
          <w:rFonts w:ascii="David" w:hAnsi="David" w:cs="David" w:hint="cs"/>
          <w:sz w:val="24"/>
          <w:szCs w:val="24"/>
          <w:rtl/>
        </w:rPr>
        <w:t>"</w:t>
      </w:r>
      <w:r w:rsidRPr="00445421">
        <w:rPr>
          <w:rFonts w:ascii="David" w:hAnsi="David" w:cs="David"/>
          <w:sz w:val="24"/>
          <w:szCs w:val="24"/>
          <w:rtl/>
        </w:rPr>
        <w:t xml:space="preserve"> עם האקדח המשטרתי שברשותו מסוג 'גלוק</w:t>
      </w:r>
      <w:r w:rsidRPr="00445421">
        <w:rPr>
          <w:rFonts w:ascii="David" w:hAnsi="David" w:cs="David"/>
          <w:i/>
          <w:iCs/>
          <w:sz w:val="24"/>
          <w:szCs w:val="24"/>
          <w:rtl/>
        </w:rPr>
        <w:t>'</w:t>
      </w:r>
      <w:r w:rsidRPr="00445421">
        <w:rPr>
          <w:rFonts w:ascii="David" w:hAnsi="David" w:cs="David"/>
          <w:sz w:val="24"/>
          <w:szCs w:val="24"/>
          <w:rtl/>
        </w:rPr>
        <w:t xml:space="preserve"> (להלן: </w:t>
      </w:r>
      <w:r w:rsidRPr="00445421">
        <w:rPr>
          <w:rFonts w:ascii="David" w:hAnsi="David" w:cs="David"/>
          <w:b/>
          <w:bCs/>
          <w:sz w:val="24"/>
          <w:szCs w:val="24"/>
          <w:rtl/>
        </w:rPr>
        <w:t>האקדח</w:t>
      </w:r>
      <w:r w:rsidRPr="00445421">
        <w:rPr>
          <w:rFonts w:ascii="David" w:hAnsi="David" w:cs="David"/>
          <w:sz w:val="24"/>
          <w:szCs w:val="24"/>
          <w:rtl/>
        </w:rPr>
        <w:t xml:space="preserve">), תוך סיכון </w:t>
      </w:r>
      <w:r w:rsidRPr="00CC40FD">
        <w:rPr>
          <w:rFonts w:ascii="David" w:hAnsi="David" w:cs="David"/>
          <w:sz w:val="24"/>
          <w:szCs w:val="24"/>
          <w:rtl/>
        </w:rPr>
        <w:t>ממשי לחיי אדם</w:t>
      </w:r>
      <w:r>
        <w:rPr>
          <w:rFonts w:ascii="David" w:hAnsi="David" w:cs="David" w:hint="cs"/>
          <w:sz w:val="24"/>
          <w:szCs w:val="24"/>
          <w:rtl/>
        </w:rPr>
        <w:t>, חרף אזהרות רבות שהופנו אליו שלא לעשות זאת. הנאשם ל</w:t>
      </w:r>
      <w:r w:rsidRPr="00CC40FD">
        <w:rPr>
          <w:rFonts w:ascii="David" w:hAnsi="David" w:cs="David"/>
          <w:sz w:val="24"/>
          <w:szCs w:val="24"/>
          <w:rtl/>
        </w:rPr>
        <w:t xml:space="preserve">א חדל </w:t>
      </w:r>
      <w:r>
        <w:rPr>
          <w:rFonts w:ascii="David" w:hAnsi="David" w:cs="David" w:hint="cs"/>
          <w:sz w:val="24"/>
          <w:szCs w:val="24"/>
          <w:rtl/>
        </w:rPr>
        <w:t>"</w:t>
      </w:r>
      <w:r w:rsidRPr="00CC40FD">
        <w:rPr>
          <w:rFonts w:ascii="David" w:hAnsi="David" w:cs="David"/>
          <w:sz w:val="24"/>
          <w:szCs w:val="24"/>
          <w:rtl/>
        </w:rPr>
        <w:t>מלשחק</w:t>
      </w:r>
      <w:r>
        <w:rPr>
          <w:rFonts w:ascii="David" w:hAnsi="David" w:cs="David" w:hint="cs"/>
          <w:sz w:val="24"/>
          <w:szCs w:val="24"/>
          <w:rtl/>
        </w:rPr>
        <w:t>"</w:t>
      </w:r>
      <w:r w:rsidRPr="00CC40FD">
        <w:rPr>
          <w:rFonts w:ascii="David" w:hAnsi="David" w:cs="David"/>
          <w:sz w:val="24"/>
          <w:szCs w:val="24"/>
          <w:rtl/>
        </w:rPr>
        <w:t xml:space="preserve"> באקדחו, תוך סיכון חיים ממשי, </w:t>
      </w:r>
      <w:r>
        <w:rPr>
          <w:rFonts w:ascii="David" w:hAnsi="David" w:cs="David" w:hint="cs"/>
          <w:sz w:val="24"/>
          <w:szCs w:val="24"/>
          <w:rtl/>
        </w:rPr>
        <w:t>ו</w:t>
      </w:r>
      <w:r w:rsidRPr="00CC40FD">
        <w:rPr>
          <w:rFonts w:ascii="David" w:hAnsi="David" w:cs="David"/>
          <w:sz w:val="24"/>
          <w:szCs w:val="24"/>
          <w:rtl/>
        </w:rPr>
        <w:t xml:space="preserve">לאיים באמצעותו על אחרים ואף לא </w:t>
      </w:r>
      <w:r>
        <w:rPr>
          <w:rFonts w:ascii="David" w:hAnsi="David" w:cs="David" w:hint="cs"/>
          <w:sz w:val="24"/>
          <w:szCs w:val="24"/>
          <w:rtl/>
        </w:rPr>
        <w:t xml:space="preserve">נשמע </w:t>
      </w:r>
      <w:r w:rsidRPr="00CC40FD">
        <w:rPr>
          <w:rFonts w:ascii="David" w:hAnsi="David" w:cs="David"/>
          <w:sz w:val="24"/>
          <w:szCs w:val="24"/>
          <w:rtl/>
        </w:rPr>
        <w:t xml:space="preserve">לאזהרות הרבות שניתנו לו באשר לסכנה הממשית לחיי אדם הטמונה במעשיו, עד אשר הביא למותו של </w:t>
      </w:r>
      <w:r>
        <w:rPr>
          <w:rFonts w:ascii="David" w:hAnsi="David" w:cs="David" w:hint="cs"/>
          <w:sz w:val="24"/>
          <w:szCs w:val="24"/>
          <w:rtl/>
        </w:rPr>
        <w:t>המנוח.</w:t>
      </w:r>
      <w:r w:rsidRPr="00CC40FD">
        <w:rPr>
          <w:rFonts w:ascii="David" w:hAnsi="David" w:cs="David"/>
          <w:sz w:val="24"/>
          <w:szCs w:val="24"/>
          <w:rtl/>
        </w:rPr>
        <w:t xml:space="preserve"> </w:t>
      </w:r>
    </w:p>
    <w:p w:rsidR="00272CAC" w:rsidRPr="00D25BB2" w:rsidRDefault="00272CAC" w:rsidP="00272CAC">
      <w:pPr>
        <w:pStyle w:val="ac"/>
        <w:spacing w:after="0" w:line="360" w:lineRule="auto"/>
        <w:ind w:left="0"/>
        <w:jc w:val="both"/>
        <w:rPr>
          <w:rFonts w:ascii="David" w:hAnsi="David" w:cs="David"/>
          <w:sz w:val="24"/>
          <w:szCs w:val="24"/>
        </w:rPr>
      </w:pPr>
    </w:p>
    <w:p w:rsidR="00272CAC" w:rsidRPr="00CC40FD"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u w:val="single"/>
          <w:rtl/>
        </w:rPr>
        <w:t>ה</w:t>
      </w:r>
      <w:r w:rsidRPr="00CC40FD">
        <w:rPr>
          <w:rFonts w:ascii="David" w:hAnsi="David" w:cs="David"/>
          <w:sz w:val="24"/>
          <w:szCs w:val="24"/>
          <w:u w:val="single"/>
          <w:rtl/>
        </w:rPr>
        <w:t>אישום ראשון</w:t>
      </w:r>
      <w:r>
        <w:rPr>
          <w:rFonts w:ascii="David" w:hAnsi="David" w:cs="David" w:hint="cs"/>
          <w:sz w:val="24"/>
          <w:szCs w:val="24"/>
          <w:u w:val="single"/>
          <w:rtl/>
        </w:rPr>
        <w:t xml:space="preserve"> </w:t>
      </w:r>
      <w:r w:rsidRPr="00445421">
        <w:rPr>
          <w:rFonts w:ascii="David" w:hAnsi="David" w:cs="David" w:hint="cs"/>
          <w:sz w:val="24"/>
          <w:szCs w:val="24"/>
          <w:rtl/>
        </w:rPr>
        <w:t xml:space="preserve">הוא </w:t>
      </w:r>
      <w:r w:rsidRPr="00CC40FD">
        <w:rPr>
          <w:rFonts w:ascii="David" w:hAnsi="David" w:cs="David"/>
          <w:b/>
          <w:bCs/>
          <w:sz w:val="24"/>
          <w:szCs w:val="24"/>
          <w:rtl/>
        </w:rPr>
        <w:t>המרכזי שבכתב האישום המתוקן</w:t>
      </w:r>
      <w:r>
        <w:rPr>
          <w:rFonts w:ascii="David" w:hAnsi="David" w:cs="David" w:hint="cs"/>
          <w:b/>
          <w:bCs/>
          <w:sz w:val="24"/>
          <w:szCs w:val="24"/>
          <w:rtl/>
        </w:rPr>
        <w:t>,</w:t>
      </w:r>
      <w:r w:rsidRPr="00CC40FD">
        <w:rPr>
          <w:rFonts w:ascii="David" w:hAnsi="David" w:cs="David"/>
          <w:b/>
          <w:bCs/>
          <w:sz w:val="24"/>
          <w:szCs w:val="24"/>
          <w:rtl/>
        </w:rPr>
        <w:t xml:space="preserve"> ומביא את טענות המאשימה בהקשר לאירוע שבו נקטלו חיי</w:t>
      </w:r>
      <w:r>
        <w:rPr>
          <w:rFonts w:ascii="David" w:hAnsi="David" w:cs="David" w:hint="cs"/>
          <w:b/>
          <w:bCs/>
          <w:sz w:val="24"/>
          <w:szCs w:val="24"/>
          <w:rtl/>
        </w:rPr>
        <w:t xml:space="preserve"> </w:t>
      </w:r>
      <w:r w:rsidRPr="00CC40FD">
        <w:rPr>
          <w:rFonts w:ascii="David" w:hAnsi="David" w:cs="David"/>
          <w:b/>
          <w:bCs/>
          <w:sz w:val="24"/>
          <w:szCs w:val="24"/>
          <w:rtl/>
        </w:rPr>
        <w:t xml:space="preserve">המנוח. </w:t>
      </w:r>
      <w:r w:rsidRPr="00CC40FD">
        <w:rPr>
          <w:rFonts w:ascii="David" w:hAnsi="David" w:cs="David"/>
          <w:sz w:val="24"/>
          <w:szCs w:val="24"/>
          <w:rtl/>
        </w:rPr>
        <w:t>נטען שביום 18.2.21, סמוך לשעה 18:30, ש</w:t>
      </w:r>
      <w:r>
        <w:rPr>
          <w:rFonts w:ascii="David" w:hAnsi="David" w:cs="David" w:hint="cs"/>
          <w:sz w:val="24"/>
          <w:szCs w:val="24"/>
          <w:rtl/>
        </w:rPr>
        <w:t>ָ</w:t>
      </w:r>
      <w:r w:rsidRPr="00CC40FD">
        <w:rPr>
          <w:rFonts w:ascii="David" w:hAnsi="David" w:cs="David"/>
          <w:sz w:val="24"/>
          <w:szCs w:val="24"/>
          <w:rtl/>
        </w:rPr>
        <w:t>בו</w:t>
      </w:r>
      <w:r>
        <w:rPr>
          <w:rFonts w:ascii="David" w:hAnsi="David" w:cs="David" w:hint="cs"/>
          <w:sz w:val="24"/>
          <w:szCs w:val="24"/>
          <w:rtl/>
        </w:rPr>
        <w:t>ּ</w:t>
      </w:r>
      <w:r w:rsidRPr="00CC40FD">
        <w:rPr>
          <w:rFonts w:ascii="David" w:hAnsi="David" w:cs="David"/>
          <w:sz w:val="24"/>
          <w:szCs w:val="24"/>
          <w:rtl/>
        </w:rPr>
        <w:t xml:space="preserve"> הנאשם והמנוח לבסיס יחד עם שוטרים נוספים בתום פעילות שביצעו משעות הבוקר. בשעה 21:49, התכנסו במועדון השוטרים שבבסיס (להלן: </w:t>
      </w:r>
      <w:r w:rsidRPr="00567A4E">
        <w:rPr>
          <w:rFonts w:ascii="David" w:hAnsi="David" w:cs="David"/>
          <w:b/>
          <w:bCs/>
          <w:sz w:val="24"/>
          <w:szCs w:val="24"/>
          <w:rtl/>
        </w:rPr>
        <w:t>המועדון</w:t>
      </w:r>
      <w:r w:rsidRPr="00CC40FD">
        <w:rPr>
          <w:rFonts w:ascii="David" w:hAnsi="David" w:cs="David"/>
          <w:sz w:val="24"/>
          <w:szCs w:val="24"/>
          <w:rtl/>
        </w:rPr>
        <w:t>) ל'מסדר ערב'</w:t>
      </w:r>
      <w:r>
        <w:rPr>
          <w:rFonts w:ascii="David" w:hAnsi="David" w:cs="David" w:hint="cs"/>
          <w:sz w:val="24"/>
          <w:szCs w:val="24"/>
          <w:rtl/>
        </w:rPr>
        <w:t xml:space="preserve"> שהתקיים מידי יום</w:t>
      </w:r>
      <w:r w:rsidRPr="00CC40FD">
        <w:rPr>
          <w:rFonts w:ascii="David" w:hAnsi="David" w:cs="David"/>
          <w:sz w:val="24"/>
          <w:szCs w:val="24"/>
          <w:rtl/>
        </w:rPr>
        <w:t xml:space="preserve">. </w:t>
      </w:r>
      <w:r>
        <w:rPr>
          <w:rFonts w:ascii="David" w:hAnsi="David" w:cs="David" w:hint="cs"/>
          <w:sz w:val="24"/>
          <w:szCs w:val="24"/>
          <w:rtl/>
        </w:rPr>
        <w:t xml:space="preserve">במסדר נכחו </w:t>
      </w:r>
      <w:r w:rsidRPr="00CC40FD">
        <w:rPr>
          <w:rFonts w:ascii="David" w:hAnsi="David" w:cs="David"/>
          <w:sz w:val="24"/>
          <w:szCs w:val="24"/>
          <w:rtl/>
        </w:rPr>
        <w:t>השוטרים רז, ענבל, חסן, המנוח, הנאשם</w:t>
      </w:r>
      <w:r>
        <w:rPr>
          <w:rFonts w:ascii="David" w:hAnsi="David" w:cs="David" w:hint="cs"/>
          <w:sz w:val="24"/>
          <w:szCs w:val="24"/>
          <w:rtl/>
        </w:rPr>
        <w:t>,</w:t>
      </w:r>
      <w:r w:rsidRPr="00CC40FD">
        <w:rPr>
          <w:rFonts w:ascii="David" w:hAnsi="David" w:cs="David"/>
          <w:sz w:val="24"/>
          <w:szCs w:val="24"/>
          <w:rtl/>
        </w:rPr>
        <w:t xml:space="preserve"> וחיים אדרי ששימש כמפקדם. משהתברר כי הנאשם ונעים, שהחזיקו כל אחד אקדח משטרתי מסוג גלוק וכן רובה מסוג </w:t>
      </w:r>
      <w:r w:rsidRPr="00CC40FD">
        <w:rPr>
          <w:rFonts w:ascii="David" w:hAnsi="David" w:cs="David"/>
          <w:sz w:val="24"/>
          <w:szCs w:val="24"/>
        </w:rPr>
        <w:t>M-16</w:t>
      </w:r>
      <w:r w:rsidRPr="00CC40FD">
        <w:rPr>
          <w:rFonts w:ascii="David" w:hAnsi="David" w:cs="David"/>
          <w:sz w:val="24"/>
          <w:szCs w:val="24"/>
          <w:rtl/>
        </w:rPr>
        <w:t>, לא התייצבו למסדר עם כל</w:t>
      </w:r>
      <w:r>
        <w:rPr>
          <w:rFonts w:ascii="David" w:hAnsi="David" w:cs="David" w:hint="cs"/>
          <w:sz w:val="24"/>
          <w:szCs w:val="24"/>
          <w:rtl/>
        </w:rPr>
        <w:t>ֵ</w:t>
      </w:r>
      <w:r w:rsidRPr="00CC40FD">
        <w:rPr>
          <w:rFonts w:ascii="David" w:hAnsi="David" w:cs="David"/>
          <w:sz w:val="24"/>
          <w:szCs w:val="24"/>
          <w:rtl/>
        </w:rPr>
        <w:t xml:space="preserve">י הנשק, הורה להם </w:t>
      </w:r>
      <w:r>
        <w:rPr>
          <w:rFonts w:ascii="David" w:hAnsi="David" w:cs="David" w:hint="cs"/>
          <w:sz w:val="24"/>
          <w:szCs w:val="24"/>
          <w:rtl/>
        </w:rPr>
        <w:t xml:space="preserve">אדרי </w:t>
      </w:r>
      <w:r w:rsidRPr="00CC40FD">
        <w:rPr>
          <w:rFonts w:ascii="David" w:hAnsi="David" w:cs="David"/>
          <w:sz w:val="24"/>
          <w:szCs w:val="24"/>
          <w:rtl/>
        </w:rPr>
        <w:t xml:space="preserve">לשוב לחדר המגורים כדי להביא את הנשקים וכך היה. עם סיום המסדר הודיע הנאשם לשוטרים האחרים כי הוא הולך לחדר המגורים כדי להחזיר את הנשקים </w:t>
      </w:r>
      <w:r w:rsidRPr="00CC40FD">
        <w:rPr>
          <w:rFonts w:ascii="David" w:hAnsi="David" w:cs="David"/>
          <w:sz w:val="24"/>
          <w:szCs w:val="24"/>
          <w:rtl/>
        </w:rPr>
        <w:lastRenderedPageBreak/>
        <w:t>ובכוונתו לשוב חזרה למועדון כדי לצפות עם יתר השוטרים בתוכנית טלו</w:t>
      </w:r>
      <w:r>
        <w:rPr>
          <w:rFonts w:ascii="David" w:hAnsi="David" w:cs="David" w:hint="cs"/>
          <w:sz w:val="24"/>
          <w:szCs w:val="24"/>
          <w:rtl/>
        </w:rPr>
        <w:t>ו</w:t>
      </w:r>
      <w:r w:rsidRPr="00CC40FD">
        <w:rPr>
          <w:rFonts w:ascii="David" w:hAnsi="David" w:cs="David"/>
          <w:sz w:val="24"/>
          <w:szCs w:val="24"/>
          <w:rtl/>
        </w:rPr>
        <w:t xml:space="preserve">יזיה. לאחר מכן, המנוח והנאשם יצאו יחדיו מהמועדון לעבר חדר המגורים, תוך שיתר השוטרים נותרו במועדון. </w:t>
      </w:r>
    </w:p>
    <w:p w:rsidR="00272CAC" w:rsidRPr="00CC40FD" w:rsidRDefault="00272CAC" w:rsidP="00272CAC">
      <w:pPr>
        <w:pStyle w:val="ac"/>
        <w:spacing w:after="0" w:line="360" w:lineRule="auto"/>
        <w:ind w:left="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CC40FD">
        <w:rPr>
          <w:rFonts w:ascii="David" w:hAnsi="David" w:cs="David"/>
          <w:sz w:val="24"/>
          <w:szCs w:val="24"/>
          <w:rtl/>
        </w:rPr>
        <w:t xml:space="preserve">בהגיעם לחדר המגורים, אפסן המנוח את נשקיו בארונו האישי ונעל אותו. לאחר מכן, התכונן  לשינה, נכנס למיטתו, הממוקמת בקומה התחתונה של מיטת קומותיים, התכסה בשמיכה והחל להשתמש בטלפון הנייד שלו.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ההמשך יובא בנוסחו של כתב האישום המתוקן:</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b/>
          <w:bCs/>
          <w:sz w:val="24"/>
          <w:szCs w:val="24"/>
          <w:rtl/>
        </w:rPr>
      </w:pPr>
      <w:r w:rsidRPr="006250D5">
        <w:rPr>
          <w:rFonts w:ascii="David" w:hAnsi="David" w:cs="David" w:hint="cs"/>
          <w:b/>
          <w:bCs/>
          <w:sz w:val="24"/>
          <w:szCs w:val="24"/>
          <w:rtl/>
        </w:rPr>
        <w:t>"</w:t>
      </w:r>
      <w:r w:rsidRPr="006250D5">
        <w:rPr>
          <w:rFonts w:ascii="David" w:hAnsi="David" w:cs="David"/>
          <w:b/>
          <w:bCs/>
          <w:sz w:val="24"/>
          <w:szCs w:val="24"/>
          <w:rtl/>
        </w:rPr>
        <w:t>אותה עת, עמד הנאשם בחדר המגורים, וללא שום צורך אלא רק לשם המשחק, כפי שנהג לעשות פעמים רבות</w:t>
      </w:r>
      <w:r>
        <w:rPr>
          <w:rFonts w:ascii="David" w:hAnsi="David" w:cs="David" w:hint="cs"/>
          <w:b/>
          <w:bCs/>
          <w:sz w:val="24"/>
          <w:szCs w:val="24"/>
          <w:rtl/>
        </w:rPr>
        <w:t xml:space="preserve"> כמפורט להלן</w:t>
      </w:r>
      <w:r w:rsidRPr="006250D5">
        <w:rPr>
          <w:rFonts w:ascii="David" w:hAnsi="David" w:cs="David"/>
          <w:b/>
          <w:bCs/>
          <w:sz w:val="24"/>
          <w:szCs w:val="24"/>
          <w:rtl/>
        </w:rPr>
        <w:t xml:space="preserve">, שלף </w:t>
      </w:r>
      <w:r>
        <w:rPr>
          <w:rFonts w:ascii="David" w:hAnsi="David" w:cs="David" w:hint="cs"/>
          <w:b/>
          <w:bCs/>
          <w:sz w:val="24"/>
          <w:szCs w:val="24"/>
          <w:rtl/>
        </w:rPr>
        <w:t xml:space="preserve">הנאשם </w:t>
      </w:r>
      <w:r w:rsidRPr="006250D5">
        <w:rPr>
          <w:rFonts w:ascii="David" w:hAnsi="David" w:cs="David"/>
          <w:b/>
          <w:bCs/>
          <w:sz w:val="24"/>
          <w:szCs w:val="24"/>
          <w:rtl/>
        </w:rPr>
        <w:t xml:space="preserve">את אקדחו </w:t>
      </w:r>
      <w:r>
        <w:rPr>
          <w:rFonts w:ascii="David" w:hAnsi="David" w:cs="David" w:hint="cs"/>
          <w:b/>
          <w:bCs/>
          <w:sz w:val="24"/>
          <w:szCs w:val="24"/>
          <w:rtl/>
        </w:rPr>
        <w:t>האישי מסוג 'גלוק', בעל מספר סידורי</w:t>
      </w:r>
      <w:r>
        <w:rPr>
          <w:rFonts w:ascii="David" w:hAnsi="David" w:cs="David" w:hint="cs"/>
          <w:b/>
          <w:bCs/>
          <w:sz w:val="24"/>
          <w:szCs w:val="24"/>
        </w:rPr>
        <w:t xml:space="preserve">ADYM943 </w:t>
      </w:r>
      <w:r>
        <w:rPr>
          <w:rFonts w:ascii="David" w:hAnsi="David" w:cs="David" w:hint="cs"/>
          <w:b/>
          <w:bCs/>
          <w:sz w:val="24"/>
          <w:szCs w:val="24"/>
          <w:rtl/>
        </w:rPr>
        <w:t>, ו</w:t>
      </w:r>
      <w:r w:rsidRPr="006250D5">
        <w:rPr>
          <w:rFonts w:ascii="David" w:hAnsi="David" w:cs="David"/>
          <w:b/>
          <w:bCs/>
          <w:sz w:val="24"/>
          <w:szCs w:val="24"/>
          <w:rtl/>
        </w:rPr>
        <w:t xml:space="preserve">בו מחסנית מלאה בכדורים </w:t>
      </w:r>
      <w:r>
        <w:rPr>
          <w:rFonts w:ascii="David" w:hAnsi="David" w:cs="David" w:hint="cs"/>
          <w:b/>
          <w:bCs/>
          <w:sz w:val="24"/>
          <w:szCs w:val="24"/>
          <w:rtl/>
        </w:rPr>
        <w:t xml:space="preserve">(להלן: האקדח") </w:t>
      </w:r>
      <w:r w:rsidRPr="006250D5">
        <w:rPr>
          <w:rFonts w:ascii="David" w:hAnsi="David" w:cs="David"/>
          <w:b/>
          <w:bCs/>
          <w:sz w:val="24"/>
          <w:szCs w:val="24"/>
          <w:rtl/>
        </w:rPr>
        <w:t xml:space="preserve">והחזיקו בידו. </w:t>
      </w:r>
    </w:p>
    <w:p w:rsidR="00272CAC" w:rsidRDefault="00272CAC" w:rsidP="00272CAC">
      <w:pPr>
        <w:pStyle w:val="ac"/>
        <w:spacing w:after="0" w:line="360" w:lineRule="auto"/>
        <w:ind w:left="360"/>
        <w:jc w:val="both"/>
        <w:rPr>
          <w:rFonts w:ascii="David" w:hAnsi="David" w:cs="David"/>
          <w:b/>
          <w:bCs/>
          <w:sz w:val="24"/>
          <w:szCs w:val="24"/>
          <w:rtl/>
        </w:rPr>
      </w:pPr>
    </w:p>
    <w:p w:rsidR="00272CAC" w:rsidRDefault="00272CAC" w:rsidP="00272CAC">
      <w:pPr>
        <w:pStyle w:val="ac"/>
        <w:spacing w:after="0" w:line="360" w:lineRule="auto"/>
        <w:ind w:left="360"/>
        <w:jc w:val="both"/>
        <w:rPr>
          <w:rFonts w:ascii="David" w:hAnsi="David" w:cs="David"/>
          <w:b/>
          <w:bCs/>
          <w:sz w:val="24"/>
          <w:szCs w:val="24"/>
          <w:rtl/>
        </w:rPr>
      </w:pPr>
      <w:r w:rsidRPr="00F708AC">
        <w:rPr>
          <w:rFonts w:ascii="David" w:hAnsi="David" w:cs="David"/>
          <w:b/>
          <w:bCs/>
          <w:sz w:val="24"/>
          <w:szCs w:val="24"/>
          <w:u w:val="single"/>
          <w:rtl/>
        </w:rPr>
        <w:t>הנאשם לחץ על תפס המחסנית, הוציאה מעט ממקומה, בניסיון שכך לא ייגרף כדור אל בית הבליעה, ומיד דרך את האקדח. אז, בעמדו סמוך מאוד ל</w:t>
      </w:r>
      <w:r w:rsidRPr="00F708AC">
        <w:rPr>
          <w:rFonts w:ascii="David" w:hAnsi="David" w:cs="David" w:hint="cs"/>
          <w:b/>
          <w:bCs/>
          <w:sz w:val="24"/>
          <w:szCs w:val="24"/>
          <w:u w:val="single"/>
          <w:rtl/>
        </w:rPr>
        <w:t>נעים</w:t>
      </w:r>
      <w:r w:rsidRPr="00F708AC">
        <w:rPr>
          <w:rFonts w:ascii="David" w:hAnsi="David" w:cs="David"/>
          <w:b/>
          <w:bCs/>
          <w:sz w:val="24"/>
          <w:szCs w:val="24"/>
          <w:u w:val="single"/>
          <w:rtl/>
        </w:rPr>
        <w:t>, שעדיין שכב במיטתו, מכוסה בשמיכה, ובמרחק שאינו עולה על מטר ועשרים וחמישה ס"מ, אלכסונית מ</w:t>
      </w:r>
      <w:r w:rsidRPr="00F708AC">
        <w:rPr>
          <w:rFonts w:ascii="David" w:hAnsi="David" w:cs="David" w:hint="cs"/>
          <w:b/>
          <w:bCs/>
          <w:sz w:val="24"/>
          <w:szCs w:val="24"/>
          <w:u w:val="single"/>
          <w:rtl/>
        </w:rPr>
        <w:t>נעים</w:t>
      </w:r>
      <w:r w:rsidRPr="00F708AC">
        <w:rPr>
          <w:rFonts w:ascii="David" w:hAnsi="David" w:cs="David"/>
          <w:b/>
          <w:bCs/>
          <w:sz w:val="24"/>
          <w:szCs w:val="24"/>
          <w:u w:val="single"/>
          <w:rtl/>
        </w:rPr>
        <w:t xml:space="preserve">, כיוון את האקדח היישר לעבר ראש </w:t>
      </w:r>
      <w:r w:rsidRPr="00F708AC">
        <w:rPr>
          <w:rFonts w:ascii="David" w:hAnsi="David" w:cs="David" w:hint="cs"/>
          <w:b/>
          <w:bCs/>
          <w:sz w:val="24"/>
          <w:szCs w:val="24"/>
          <w:u w:val="single"/>
          <w:rtl/>
        </w:rPr>
        <w:t>נעים</w:t>
      </w:r>
      <w:r w:rsidRPr="00F708AC">
        <w:rPr>
          <w:rFonts w:ascii="David" w:hAnsi="David" w:cs="David"/>
          <w:b/>
          <w:bCs/>
          <w:sz w:val="24"/>
          <w:szCs w:val="24"/>
          <w:u w:val="single"/>
          <w:rtl/>
        </w:rPr>
        <w:t>, אמר לו 'תראה', ולחץ על ההדק</w:t>
      </w:r>
      <w:r w:rsidRPr="00F708AC">
        <w:rPr>
          <w:rFonts w:ascii="David" w:hAnsi="David" w:cs="David" w:hint="cs"/>
          <w:b/>
          <w:bCs/>
          <w:sz w:val="24"/>
          <w:szCs w:val="24"/>
          <w:u w:val="single"/>
          <w:rtl/>
        </w:rPr>
        <w:t>"</w:t>
      </w:r>
      <w:r w:rsidRPr="006250D5">
        <w:rPr>
          <w:rFonts w:ascii="David" w:hAnsi="David" w:cs="David"/>
          <w:b/>
          <w:b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Pr="00695C67" w:rsidRDefault="00272CAC" w:rsidP="00272CAC">
      <w:pPr>
        <w:pStyle w:val="ac"/>
        <w:spacing w:after="0" w:line="360" w:lineRule="auto"/>
        <w:ind w:left="360"/>
        <w:jc w:val="both"/>
        <w:rPr>
          <w:rFonts w:ascii="David" w:hAnsi="David" w:cs="David"/>
          <w:sz w:val="24"/>
          <w:szCs w:val="24"/>
          <w:rtl/>
        </w:rPr>
      </w:pPr>
      <w:r w:rsidRPr="00695C67">
        <w:rPr>
          <w:rFonts w:ascii="David" w:hAnsi="David" w:cs="David" w:hint="cs"/>
          <w:sz w:val="24"/>
          <w:szCs w:val="24"/>
          <w:rtl/>
        </w:rPr>
        <w:t xml:space="preserve">(ההדגשות לעיל וכל ההדגשות שבהכרעת הדין אינן במקור, אלא אם צוין אחרת </w:t>
      </w:r>
      <w:r w:rsidRPr="00695C67">
        <w:rPr>
          <w:rFonts w:ascii="David" w:hAnsi="David" w:cs="David"/>
          <w:sz w:val="24"/>
          <w:szCs w:val="24"/>
          <w:rtl/>
        </w:rPr>
        <w:t>–</w:t>
      </w:r>
      <w:r w:rsidRPr="00695C67">
        <w:rPr>
          <w:rFonts w:ascii="David" w:hAnsi="David" w:cs="David" w:hint="cs"/>
          <w:sz w:val="24"/>
          <w:szCs w:val="24"/>
          <w:rtl/>
        </w:rPr>
        <w:t xml:space="preserve"> י.ל.).</w:t>
      </w:r>
    </w:p>
    <w:p w:rsidR="00272CAC" w:rsidRDefault="00272CAC" w:rsidP="00272CAC">
      <w:pPr>
        <w:pStyle w:val="ac"/>
        <w:spacing w:after="0" w:line="360" w:lineRule="auto"/>
        <w:ind w:left="360"/>
        <w:jc w:val="both"/>
        <w:rPr>
          <w:rFonts w:ascii="David" w:hAnsi="David" w:cs="David"/>
          <w:b/>
          <w:bCs/>
          <w:sz w:val="24"/>
          <w:szCs w:val="24"/>
          <w:rtl/>
        </w:rPr>
      </w:pPr>
    </w:p>
    <w:p w:rsidR="00272CAC" w:rsidRPr="006250D5" w:rsidRDefault="00272CAC" w:rsidP="00272CAC">
      <w:pPr>
        <w:pStyle w:val="ac"/>
        <w:spacing w:after="0" w:line="360" w:lineRule="auto"/>
        <w:ind w:left="360"/>
        <w:jc w:val="both"/>
        <w:rPr>
          <w:rFonts w:ascii="David" w:hAnsi="David" w:cs="David"/>
          <w:sz w:val="24"/>
          <w:szCs w:val="24"/>
          <w:rtl/>
        </w:rPr>
      </w:pPr>
      <w:r w:rsidRPr="006250D5">
        <w:rPr>
          <w:rFonts w:ascii="David" w:hAnsi="David" w:cs="David"/>
          <w:sz w:val="24"/>
          <w:szCs w:val="24"/>
          <w:rtl/>
        </w:rPr>
        <w:t xml:space="preserve">כתוצאה מהלחיצה על ההדק נורה קליע אשר פגע ישירות בפניו של המנוח, מתחת לאפו, חדר לראשו, פצע אותו אנושות, ובהמשך הביא למותו כתוצאה מנזק חמור שנגרם לגזע המוח ממעבר הקליע.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CC40FD">
        <w:rPr>
          <w:rFonts w:ascii="David" w:hAnsi="David" w:cs="David"/>
          <w:sz w:val="24"/>
          <w:szCs w:val="24"/>
          <w:rtl/>
        </w:rPr>
        <w:t xml:space="preserve">מיד עם הירי, הבחין הנאשם במנוח הפצוע כשהוא מחרחר למוות, אך </w:t>
      </w:r>
      <w:r>
        <w:rPr>
          <w:rFonts w:ascii="David" w:hAnsi="David" w:cs="David" w:hint="cs"/>
          <w:sz w:val="24"/>
          <w:szCs w:val="24"/>
          <w:rtl/>
        </w:rPr>
        <w:t>במקום ל</w:t>
      </w:r>
      <w:r w:rsidRPr="00CC40FD">
        <w:rPr>
          <w:rFonts w:ascii="David" w:hAnsi="David" w:cs="David"/>
          <w:sz w:val="24"/>
          <w:szCs w:val="24"/>
          <w:rtl/>
        </w:rPr>
        <w:t>הגיש לו טיפול רפואי ראשוני או להזעיק בטלפון עזרה, הניח את האקדח על בטנו של המנוח כדי להרחיק עצמו מהאירוע וכדי ליצור מצג שווא לפיו המנוח שם קץ לחייו, ומיד רץ החוצה לעבר המועדון. סמוך לפני השעה 22:00, נכנס הנאשם בריצה למועדון, שאל את השוטרים שהיו שם אותה שעה אם שמעו ירייה, ואמר להם בכזב כי המנוח ירה בעצמו. הנאשם והשוטרים רצו לחדרו של המנוח והבחינו במנוח כשהוא  מדמם וירוי במיטתו.</w:t>
      </w:r>
    </w:p>
    <w:p w:rsidR="00272CAC" w:rsidRDefault="00272CAC" w:rsidP="00272CAC">
      <w:pPr>
        <w:pStyle w:val="ac"/>
        <w:spacing w:after="0" w:line="360" w:lineRule="auto"/>
        <w:ind w:left="360"/>
        <w:jc w:val="both"/>
        <w:rPr>
          <w:rFonts w:ascii="David" w:hAnsi="David" w:cs="David"/>
          <w:sz w:val="24"/>
          <w:szCs w:val="24"/>
          <w:rtl/>
        </w:rPr>
      </w:pPr>
    </w:p>
    <w:p w:rsidR="00272CAC" w:rsidRPr="00CC40FD" w:rsidRDefault="00272CAC" w:rsidP="00272CAC">
      <w:pPr>
        <w:pStyle w:val="ac"/>
        <w:spacing w:after="0" w:line="360" w:lineRule="auto"/>
        <w:ind w:left="360"/>
        <w:jc w:val="both"/>
        <w:rPr>
          <w:rFonts w:ascii="David" w:hAnsi="David" w:cs="David"/>
          <w:sz w:val="24"/>
          <w:szCs w:val="24"/>
        </w:rPr>
      </w:pPr>
      <w:r w:rsidRPr="00CC40FD">
        <w:rPr>
          <w:rFonts w:ascii="David" w:hAnsi="David" w:cs="David"/>
          <w:sz w:val="24"/>
          <w:szCs w:val="24"/>
          <w:rtl/>
        </w:rPr>
        <w:t>סמוך לאחר מכן, הנאשם, סוועאד, רז וענבל עזבו את חדר המגורים והלכו לחדר המגורים של השוטרות רז וענבל. הנאשם ביקש מענבל נוזל חיטוי (אלכוג'ל)</w:t>
      </w:r>
      <w:r>
        <w:rPr>
          <w:rFonts w:ascii="David" w:hAnsi="David" w:cs="David" w:hint="cs"/>
          <w:sz w:val="24"/>
          <w:szCs w:val="24"/>
          <w:rtl/>
        </w:rPr>
        <w:t xml:space="preserve">, </w:t>
      </w:r>
      <w:r w:rsidRPr="00CC40FD">
        <w:rPr>
          <w:rFonts w:ascii="David" w:hAnsi="David" w:cs="David"/>
          <w:sz w:val="24"/>
          <w:szCs w:val="24"/>
          <w:rtl/>
        </w:rPr>
        <w:t xml:space="preserve">היא שפכה אל כפות ידיו כמות </w:t>
      </w:r>
      <w:r w:rsidRPr="00CC40FD">
        <w:rPr>
          <w:rFonts w:ascii="David" w:hAnsi="David" w:cs="David"/>
          <w:sz w:val="24"/>
          <w:szCs w:val="24"/>
          <w:rtl/>
        </w:rPr>
        <w:lastRenderedPageBreak/>
        <w:t xml:space="preserve">נדיבה של </w:t>
      </w:r>
      <w:r>
        <w:rPr>
          <w:rFonts w:ascii="David" w:hAnsi="David" w:cs="David" w:hint="cs"/>
          <w:sz w:val="24"/>
          <w:szCs w:val="24"/>
          <w:rtl/>
        </w:rPr>
        <w:t>ה</w:t>
      </w:r>
      <w:r w:rsidRPr="00CC40FD">
        <w:rPr>
          <w:rFonts w:ascii="David" w:hAnsi="David" w:cs="David"/>
          <w:sz w:val="24"/>
          <w:szCs w:val="24"/>
          <w:rtl/>
        </w:rPr>
        <w:t>נוזל</w:t>
      </w:r>
      <w:r>
        <w:rPr>
          <w:rFonts w:ascii="David" w:hAnsi="David" w:cs="David" w:hint="cs"/>
          <w:sz w:val="24"/>
          <w:szCs w:val="24"/>
          <w:rtl/>
        </w:rPr>
        <w:t xml:space="preserve"> ו</w:t>
      </w:r>
      <w:r w:rsidRPr="00CC40FD">
        <w:rPr>
          <w:rFonts w:ascii="David" w:hAnsi="David" w:cs="David"/>
          <w:sz w:val="24"/>
          <w:szCs w:val="24"/>
          <w:rtl/>
        </w:rPr>
        <w:t>הנאשם הפשיל שרווליו ו</w:t>
      </w:r>
      <w:r>
        <w:rPr>
          <w:rFonts w:ascii="David" w:hAnsi="David" w:cs="David" w:hint="cs"/>
          <w:sz w:val="24"/>
          <w:szCs w:val="24"/>
          <w:rtl/>
        </w:rPr>
        <w:t xml:space="preserve">שפשף </w:t>
      </w:r>
      <w:r w:rsidRPr="00CC40FD">
        <w:rPr>
          <w:rFonts w:ascii="David" w:hAnsi="David" w:cs="David"/>
          <w:sz w:val="24"/>
          <w:szCs w:val="24"/>
          <w:rtl/>
        </w:rPr>
        <w:t xml:space="preserve">במרץ את כפות ידיו עד לאמצע </w:t>
      </w:r>
      <w:r>
        <w:rPr>
          <w:rFonts w:ascii="David" w:hAnsi="David" w:cs="David" w:hint="cs"/>
          <w:sz w:val="24"/>
          <w:szCs w:val="24"/>
          <w:rtl/>
        </w:rPr>
        <w:t>ה</w:t>
      </w:r>
      <w:r w:rsidRPr="00CC40FD">
        <w:rPr>
          <w:rFonts w:ascii="David" w:hAnsi="David" w:cs="David"/>
          <w:sz w:val="24"/>
          <w:szCs w:val="24"/>
          <w:rtl/>
        </w:rPr>
        <w:t xml:space="preserve">אמות. מיד לאחר מכן, ביקש הנאשם מענבל נוזל חיטוי נוסף. בתגובה, שאלה ענבל את הנאשם </w:t>
      </w:r>
      <w:r>
        <w:rPr>
          <w:rFonts w:ascii="David" w:hAnsi="David" w:cs="David" w:hint="cs"/>
          <w:sz w:val="24"/>
          <w:szCs w:val="24"/>
          <w:rtl/>
        </w:rPr>
        <w:t xml:space="preserve">לשם מה הוא נזקק לכך והאם </w:t>
      </w:r>
      <w:r w:rsidRPr="00CC40FD">
        <w:rPr>
          <w:rFonts w:ascii="David" w:hAnsi="David" w:cs="David"/>
          <w:sz w:val="24"/>
          <w:szCs w:val="24"/>
          <w:rtl/>
        </w:rPr>
        <w:t>נגע במנוח</w:t>
      </w:r>
      <w:r>
        <w:rPr>
          <w:rFonts w:ascii="David" w:hAnsi="David" w:cs="David" w:hint="cs"/>
          <w:sz w:val="24"/>
          <w:szCs w:val="24"/>
          <w:rtl/>
        </w:rPr>
        <w:t>, ו</w:t>
      </w:r>
      <w:r w:rsidRPr="00CC40FD">
        <w:rPr>
          <w:rFonts w:ascii="David" w:hAnsi="David" w:cs="David"/>
          <w:sz w:val="24"/>
          <w:szCs w:val="24"/>
          <w:rtl/>
        </w:rPr>
        <w:t>במענה לשאלה</w:t>
      </w:r>
      <w:r>
        <w:rPr>
          <w:rFonts w:ascii="David" w:hAnsi="David" w:cs="David" w:hint="cs"/>
          <w:sz w:val="24"/>
          <w:szCs w:val="24"/>
          <w:rtl/>
        </w:rPr>
        <w:t xml:space="preserve"> זו</w:t>
      </w:r>
      <w:r w:rsidRPr="00CC40FD">
        <w:rPr>
          <w:rFonts w:ascii="David" w:hAnsi="David" w:cs="David"/>
          <w:sz w:val="24"/>
          <w:szCs w:val="24"/>
          <w:rtl/>
        </w:rPr>
        <w:t xml:space="preserve"> החל הנאשם, שנראה לחוץ, לטפוח על עצמו במקומות שונים בגוף, </w:t>
      </w:r>
      <w:r>
        <w:rPr>
          <w:rFonts w:ascii="David" w:hAnsi="David" w:cs="David" w:hint="cs"/>
          <w:sz w:val="24"/>
          <w:szCs w:val="24"/>
          <w:rtl/>
        </w:rPr>
        <w:t xml:space="preserve">וכן </w:t>
      </w:r>
      <w:r w:rsidRPr="00CC40FD">
        <w:rPr>
          <w:rFonts w:ascii="David" w:hAnsi="David" w:cs="David"/>
          <w:sz w:val="24"/>
          <w:szCs w:val="24"/>
          <w:rtl/>
        </w:rPr>
        <w:t xml:space="preserve">שאל את ענבל אם היא רואה עליו כתמי דם. ענבל נעתרה שוב לבקשת הנאשם ושפכה על כפות ידיו נוזל חיטוי, והנאשם שוב שפשף במרץ את כפות ידיו עד לאזור אמצע האמות. מיד לאחר מכן המשיך הנאשם להפיץ את גרסתו הכוזבת לפיה המנוח שם קץ לחייו בזמן שהוא עצמו לא שהה בחדר המגורים. הנאשם שב וחזר על גרסתו זו בפני מספר רב של שוטרים שהגיעו למקום או שעימם שוחח טלפונית, ובהמשך שב על גרסת הכזב עת מסר הודעה </w:t>
      </w:r>
      <w:r>
        <w:rPr>
          <w:rFonts w:ascii="David" w:hAnsi="David" w:cs="David" w:hint="cs"/>
          <w:sz w:val="24"/>
          <w:szCs w:val="24"/>
          <w:rtl/>
        </w:rPr>
        <w:t>ל</w:t>
      </w:r>
      <w:r w:rsidRPr="00CC40FD">
        <w:rPr>
          <w:rFonts w:ascii="David" w:hAnsi="David" w:cs="David"/>
          <w:sz w:val="24"/>
          <w:szCs w:val="24"/>
          <w:rtl/>
        </w:rPr>
        <w:t xml:space="preserve">חוקר משטרה שהגיע לזירה. </w:t>
      </w:r>
    </w:p>
    <w:p w:rsidR="00272CAC" w:rsidRPr="00CC40FD" w:rsidRDefault="00272CAC" w:rsidP="00272CAC">
      <w:pPr>
        <w:pStyle w:val="ac"/>
        <w:spacing w:after="0" w:line="360" w:lineRule="auto"/>
        <w:ind w:left="0"/>
        <w:jc w:val="both"/>
        <w:rPr>
          <w:rFonts w:ascii="David" w:hAnsi="David" w:cs="David"/>
          <w:sz w:val="24"/>
          <w:szCs w:val="24"/>
          <w:rtl/>
        </w:rPr>
      </w:pPr>
    </w:p>
    <w:p w:rsidR="00272CAC" w:rsidRPr="00CC40FD" w:rsidRDefault="00272CAC" w:rsidP="00272CAC">
      <w:pPr>
        <w:pStyle w:val="ac"/>
        <w:spacing w:after="0" w:line="360" w:lineRule="auto"/>
        <w:ind w:left="0" w:firstLine="360"/>
        <w:jc w:val="both"/>
        <w:rPr>
          <w:rFonts w:ascii="David" w:hAnsi="David" w:cs="David"/>
          <w:sz w:val="24"/>
          <w:szCs w:val="24"/>
          <w:rtl/>
        </w:rPr>
      </w:pPr>
      <w:r w:rsidRPr="00CC40FD">
        <w:rPr>
          <w:rFonts w:ascii="David" w:hAnsi="David" w:cs="David"/>
          <w:sz w:val="24"/>
          <w:szCs w:val="24"/>
          <w:rtl/>
        </w:rPr>
        <w:t>על בסיס הנטען לעיל ייחסה המאשימה לנאשם את העבירות הבאות:</w:t>
      </w:r>
    </w:p>
    <w:p w:rsidR="00272CAC" w:rsidRPr="00CC40FD" w:rsidRDefault="00272CAC" w:rsidP="00272CAC">
      <w:pPr>
        <w:pStyle w:val="ac"/>
        <w:spacing w:after="0" w:line="360" w:lineRule="auto"/>
        <w:ind w:left="0"/>
        <w:jc w:val="both"/>
        <w:rPr>
          <w:rFonts w:ascii="David" w:hAnsi="David" w:cs="David"/>
          <w:sz w:val="24"/>
          <w:szCs w:val="24"/>
        </w:rPr>
      </w:pPr>
    </w:p>
    <w:p w:rsidR="00272CAC" w:rsidRPr="00CC40FD" w:rsidRDefault="00272CAC" w:rsidP="00272CAC">
      <w:pPr>
        <w:pStyle w:val="ac"/>
        <w:spacing w:after="0" w:line="360" w:lineRule="auto"/>
        <w:ind w:hanging="360"/>
        <w:jc w:val="both"/>
        <w:rPr>
          <w:rFonts w:ascii="David" w:hAnsi="David" w:cs="David"/>
          <w:sz w:val="24"/>
          <w:szCs w:val="24"/>
        </w:rPr>
      </w:pPr>
      <w:r w:rsidRPr="00CC40FD">
        <w:rPr>
          <w:rFonts w:ascii="David" w:hAnsi="David" w:cs="David"/>
          <w:sz w:val="24"/>
          <w:szCs w:val="24"/>
          <w:rtl/>
        </w:rPr>
        <w:t>(-)</w:t>
      </w:r>
      <w:r w:rsidRPr="00CC40FD">
        <w:rPr>
          <w:rFonts w:ascii="David" w:hAnsi="David" w:cs="David"/>
          <w:sz w:val="24"/>
          <w:szCs w:val="24"/>
          <w:rtl/>
        </w:rPr>
        <w:tab/>
      </w:r>
      <w:r w:rsidRPr="00CC40FD">
        <w:rPr>
          <w:rFonts w:ascii="David" w:hAnsi="David" w:cs="David"/>
          <w:b/>
          <w:bCs/>
          <w:sz w:val="24"/>
          <w:szCs w:val="24"/>
          <w:rtl/>
        </w:rPr>
        <w:t>רצח באדישות</w:t>
      </w:r>
      <w:r w:rsidRPr="00CC40FD">
        <w:rPr>
          <w:rFonts w:ascii="David" w:hAnsi="David" w:cs="David"/>
          <w:sz w:val="24"/>
          <w:szCs w:val="24"/>
          <w:rtl/>
        </w:rPr>
        <w:t xml:space="preserve"> – לפי סעיף 300(א) לחוק העונשין התשל"ז – 1977 (להלן: </w:t>
      </w:r>
      <w:r w:rsidRPr="00F708AC">
        <w:rPr>
          <w:rFonts w:ascii="David" w:hAnsi="David" w:cs="David"/>
          <w:b/>
          <w:bCs/>
          <w:sz w:val="24"/>
          <w:szCs w:val="24"/>
          <w:rtl/>
        </w:rPr>
        <w:t>החוק</w:t>
      </w:r>
      <w:r w:rsidRPr="00CC40FD">
        <w:rPr>
          <w:rFonts w:ascii="David" w:hAnsi="David" w:cs="David"/>
          <w:sz w:val="24"/>
          <w:szCs w:val="24"/>
          <w:rtl/>
        </w:rPr>
        <w:t xml:space="preserve">); </w:t>
      </w:r>
    </w:p>
    <w:p w:rsidR="00272CAC" w:rsidRPr="00CC40FD" w:rsidRDefault="00272CAC" w:rsidP="00272CAC">
      <w:pPr>
        <w:pStyle w:val="ac"/>
        <w:spacing w:after="0" w:line="360" w:lineRule="auto"/>
        <w:ind w:left="0" w:firstLine="360"/>
        <w:jc w:val="both"/>
        <w:rPr>
          <w:rFonts w:ascii="David" w:hAnsi="David" w:cs="David"/>
          <w:sz w:val="24"/>
          <w:szCs w:val="24"/>
        </w:rPr>
      </w:pPr>
      <w:r w:rsidRPr="00CC40FD">
        <w:rPr>
          <w:rFonts w:ascii="David" w:hAnsi="David" w:cs="David"/>
          <w:sz w:val="24"/>
          <w:szCs w:val="24"/>
          <w:rtl/>
        </w:rPr>
        <w:t>(-)</w:t>
      </w:r>
      <w:r w:rsidRPr="00CC40FD">
        <w:rPr>
          <w:rFonts w:ascii="David" w:hAnsi="David" w:cs="David"/>
          <w:sz w:val="24"/>
          <w:szCs w:val="24"/>
          <w:rtl/>
        </w:rPr>
        <w:tab/>
      </w:r>
      <w:r w:rsidRPr="00CC40FD">
        <w:rPr>
          <w:rFonts w:ascii="David" w:hAnsi="David" w:cs="David"/>
          <w:b/>
          <w:bCs/>
          <w:sz w:val="24"/>
          <w:szCs w:val="24"/>
          <w:rtl/>
        </w:rPr>
        <w:t>שיבוש מהלכי משפט</w:t>
      </w:r>
      <w:r w:rsidRPr="00CC40FD">
        <w:rPr>
          <w:rFonts w:ascii="David" w:hAnsi="David" w:cs="David"/>
          <w:sz w:val="24"/>
          <w:szCs w:val="24"/>
          <w:rtl/>
        </w:rPr>
        <w:t xml:space="preserve"> – לפי סעיף 244 לחוק. </w:t>
      </w:r>
    </w:p>
    <w:p w:rsidR="00272CAC" w:rsidRPr="001F52EB" w:rsidRDefault="00272CAC" w:rsidP="00272CAC">
      <w:pPr>
        <w:spacing w:line="360" w:lineRule="auto"/>
        <w:jc w:val="both"/>
        <w:rPr>
          <w:rFonts w:ascii="David" w:hAnsi="David"/>
          <w:rtl/>
        </w:rPr>
      </w:pPr>
    </w:p>
    <w:p w:rsidR="00272CAC" w:rsidRPr="00CC40FD" w:rsidRDefault="00272CAC" w:rsidP="00272CAC">
      <w:pPr>
        <w:pStyle w:val="ac"/>
        <w:numPr>
          <w:ilvl w:val="0"/>
          <w:numId w:val="14"/>
        </w:numPr>
        <w:spacing w:after="0" w:line="360" w:lineRule="auto"/>
        <w:jc w:val="both"/>
        <w:rPr>
          <w:rFonts w:ascii="David" w:hAnsi="David" w:cs="David"/>
          <w:sz w:val="24"/>
          <w:szCs w:val="24"/>
        </w:rPr>
      </w:pPr>
      <w:r w:rsidRPr="00CC40FD">
        <w:rPr>
          <w:rFonts w:ascii="David" w:hAnsi="David" w:cs="David"/>
          <w:sz w:val="24"/>
          <w:szCs w:val="24"/>
          <w:u w:val="single"/>
          <w:rtl/>
        </w:rPr>
        <w:t>האישום השני</w:t>
      </w:r>
      <w:r w:rsidRPr="00CC40FD">
        <w:rPr>
          <w:rFonts w:ascii="David" w:hAnsi="David" w:cs="David"/>
          <w:sz w:val="24"/>
          <w:szCs w:val="24"/>
          <w:rtl/>
        </w:rPr>
        <w:t xml:space="preserve">, </w:t>
      </w:r>
      <w:r w:rsidRPr="00187E01">
        <w:rPr>
          <w:rFonts w:ascii="David" w:hAnsi="David" w:cs="David"/>
          <w:sz w:val="24"/>
          <w:szCs w:val="24"/>
          <w:u w:val="single"/>
          <w:rtl/>
        </w:rPr>
        <w:t>שבעובדותיו הודה הנאשם</w:t>
      </w:r>
      <w:r w:rsidRPr="00CC40FD">
        <w:rPr>
          <w:rFonts w:ascii="David" w:hAnsi="David" w:cs="David"/>
          <w:sz w:val="24"/>
          <w:szCs w:val="24"/>
          <w:rtl/>
        </w:rPr>
        <w:t>, כלל מספר מקרים שהתרחשו בתקופה הרלוונטית לכתב האישום (</w:t>
      </w:r>
      <w:r>
        <w:rPr>
          <w:rFonts w:ascii="David" w:hAnsi="David" w:cs="David" w:hint="cs"/>
          <w:sz w:val="24"/>
          <w:szCs w:val="24"/>
          <w:rtl/>
        </w:rPr>
        <w:t xml:space="preserve">כאמור, מסיום קורס יסמ"ג בחודש יולי 2020 ועד ליום בו ירה למוות במנוח ביום 18.2.21). מדובר במקרים במסגרתם </w:t>
      </w:r>
      <w:r w:rsidRPr="00CC40FD">
        <w:rPr>
          <w:rFonts w:ascii="David" w:hAnsi="David" w:cs="David"/>
          <w:sz w:val="24"/>
          <w:szCs w:val="24"/>
          <w:rtl/>
        </w:rPr>
        <w:t xml:space="preserve">שלף וכיוון הנאשם את אקדחו לעבר אחרים ולא </w:t>
      </w:r>
      <w:r>
        <w:rPr>
          <w:rFonts w:ascii="David" w:hAnsi="David" w:cs="David" w:hint="cs"/>
          <w:sz w:val="24"/>
          <w:szCs w:val="24"/>
          <w:rtl/>
        </w:rPr>
        <w:t xml:space="preserve">נשמע </w:t>
      </w:r>
      <w:r w:rsidRPr="00CC40FD">
        <w:rPr>
          <w:rFonts w:ascii="David" w:hAnsi="David" w:cs="David"/>
          <w:sz w:val="24"/>
          <w:szCs w:val="24"/>
          <w:rtl/>
        </w:rPr>
        <w:t>לאזהרות רבות שניתנו לו באשר לסכנה הממשית הנשקפת ממעשיו</w:t>
      </w:r>
      <w:r>
        <w:rPr>
          <w:rFonts w:ascii="David" w:hAnsi="David" w:cs="David" w:hint="cs"/>
          <w:sz w:val="24"/>
          <w:szCs w:val="24"/>
          <w:rtl/>
        </w:rPr>
        <w:t xml:space="preserve">; וכן </w:t>
      </w:r>
      <w:r w:rsidRPr="00CC40FD">
        <w:rPr>
          <w:rFonts w:ascii="David" w:hAnsi="David" w:cs="David"/>
          <w:sz w:val="24"/>
          <w:szCs w:val="24"/>
          <w:rtl/>
        </w:rPr>
        <w:t>תקף את עמיתיו לפלוגה</w:t>
      </w:r>
      <w:r>
        <w:rPr>
          <w:rFonts w:ascii="David" w:hAnsi="David" w:cs="David" w:hint="cs"/>
          <w:sz w:val="24"/>
          <w:szCs w:val="24"/>
          <w:rtl/>
        </w:rPr>
        <w:t xml:space="preserve">. המועדים המדויקים של האירועים שלהלן לא היו ידועים למאשימה. </w:t>
      </w:r>
    </w:p>
    <w:p w:rsidR="00272CAC" w:rsidRPr="00187E01" w:rsidRDefault="00272CAC" w:rsidP="00272CAC">
      <w:pPr>
        <w:pStyle w:val="ac"/>
        <w:spacing w:after="0" w:line="360" w:lineRule="auto"/>
        <w:ind w:left="0"/>
        <w:jc w:val="both"/>
        <w:rPr>
          <w:rFonts w:ascii="David" w:hAnsi="David" w:cs="David"/>
          <w:sz w:val="24"/>
          <w:szCs w:val="24"/>
          <w:rtl/>
        </w:rPr>
      </w:pPr>
    </w:p>
    <w:p w:rsidR="00272CAC" w:rsidRPr="001F52EB" w:rsidRDefault="00272CAC" w:rsidP="00272CAC">
      <w:pPr>
        <w:spacing w:line="360" w:lineRule="auto"/>
        <w:ind w:firstLine="720"/>
        <w:jc w:val="both"/>
        <w:rPr>
          <w:rFonts w:ascii="David" w:hAnsi="David"/>
          <w:u w:val="single"/>
        </w:rPr>
      </w:pPr>
      <w:r w:rsidRPr="001F52EB">
        <w:rPr>
          <w:rFonts w:ascii="David" w:hAnsi="David" w:hint="cs"/>
          <w:u w:val="single"/>
          <w:rtl/>
        </w:rPr>
        <w:t>אירועים הנוגעים לנשק</w:t>
      </w:r>
    </w:p>
    <w:p w:rsidR="00272CAC" w:rsidRPr="001F52EB" w:rsidRDefault="00272CAC" w:rsidP="00272CAC">
      <w:pPr>
        <w:spacing w:line="360" w:lineRule="auto"/>
        <w:ind w:left="720" w:hanging="360"/>
        <w:jc w:val="both"/>
        <w:rPr>
          <w:rFonts w:ascii="David" w:hAnsi="David"/>
        </w:rPr>
      </w:pPr>
      <w:r w:rsidRPr="001F52EB">
        <w:rPr>
          <w:rFonts w:ascii="David" w:hAnsi="David"/>
          <w:rtl/>
        </w:rPr>
        <w:t xml:space="preserve">(-) </w:t>
      </w:r>
      <w:r w:rsidRPr="001F52EB">
        <w:rPr>
          <w:rFonts w:ascii="David" w:hAnsi="David"/>
          <w:rtl/>
        </w:rPr>
        <w:tab/>
      </w:r>
      <w:r w:rsidRPr="001F52EB">
        <w:rPr>
          <w:rFonts w:ascii="David" w:hAnsi="David" w:hint="cs"/>
          <w:rtl/>
        </w:rPr>
        <w:t>בעת ש</w:t>
      </w:r>
      <w:r w:rsidRPr="001F52EB">
        <w:rPr>
          <w:rFonts w:ascii="David" w:hAnsi="David"/>
          <w:rtl/>
        </w:rPr>
        <w:t xml:space="preserve">חברו של הנאשם ליחידה, </w:t>
      </w:r>
      <w:r w:rsidRPr="007B1468">
        <w:rPr>
          <w:rFonts w:ascii="David" w:hAnsi="David" w:hint="cs"/>
          <w:b/>
          <w:bCs/>
          <w:rtl/>
        </w:rPr>
        <w:t>ה</w:t>
      </w:r>
      <w:r w:rsidRPr="007B1468">
        <w:rPr>
          <w:rFonts w:ascii="David" w:hAnsi="David"/>
          <w:b/>
          <w:bCs/>
          <w:rtl/>
        </w:rPr>
        <w:t>שוטר אופק</w:t>
      </w:r>
      <w:r w:rsidRPr="001F52EB">
        <w:rPr>
          <w:rFonts w:ascii="David" w:hAnsi="David" w:hint="cs"/>
          <w:rtl/>
        </w:rPr>
        <w:t>,</w:t>
      </w:r>
      <w:r w:rsidRPr="001F52EB">
        <w:rPr>
          <w:rFonts w:ascii="David" w:hAnsi="David"/>
          <w:rtl/>
        </w:rPr>
        <w:t xml:space="preserve"> ביקש מהנאשם שסידר אותה שעה את ארונו האישי בכניסה לחדר, לזוז מעט הצדה</w:t>
      </w:r>
      <w:r w:rsidRPr="001F52EB">
        <w:rPr>
          <w:rFonts w:ascii="David" w:hAnsi="David" w:hint="cs"/>
          <w:rtl/>
        </w:rPr>
        <w:t xml:space="preserve">, </w:t>
      </w:r>
      <w:r w:rsidRPr="001F52EB">
        <w:rPr>
          <w:rFonts w:ascii="David" w:hAnsi="David"/>
          <w:u w:val="single"/>
          <w:rtl/>
        </w:rPr>
        <w:t>שלף הנאשם את אקדח</w:t>
      </w:r>
      <w:r w:rsidRPr="001F52EB">
        <w:rPr>
          <w:rFonts w:ascii="David" w:hAnsi="David" w:hint="cs"/>
          <w:u w:val="single"/>
          <w:rtl/>
        </w:rPr>
        <w:t>ו</w:t>
      </w:r>
      <w:r w:rsidRPr="001F52EB">
        <w:rPr>
          <w:rFonts w:ascii="David" w:hAnsi="David"/>
          <w:rtl/>
        </w:rPr>
        <w:t xml:space="preserve">, </w:t>
      </w:r>
      <w:r w:rsidRPr="001F52EB">
        <w:rPr>
          <w:rFonts w:ascii="David" w:hAnsi="David"/>
          <w:u w:val="single"/>
          <w:rtl/>
        </w:rPr>
        <w:t>שהיה אותה עת בלא מחסנית, וכיוון אותו לעבר רגליו של אופק</w:t>
      </w:r>
      <w:r w:rsidRPr="001F52EB">
        <w:rPr>
          <w:rFonts w:ascii="David" w:hAnsi="David"/>
          <w:rtl/>
        </w:rPr>
        <w:t xml:space="preserve">, תוך שהוא אומר שאין בכוונתו לזוז; </w:t>
      </w:r>
    </w:p>
    <w:p w:rsidR="00272CAC" w:rsidRPr="00D25BB2" w:rsidRDefault="00272CAC" w:rsidP="00272CAC">
      <w:pPr>
        <w:pStyle w:val="ac"/>
        <w:spacing w:after="0" w:line="360" w:lineRule="auto"/>
        <w:ind w:left="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sidRPr="00CC40FD">
        <w:rPr>
          <w:rFonts w:ascii="David" w:hAnsi="David" w:cs="David"/>
          <w:sz w:val="24"/>
          <w:szCs w:val="24"/>
          <w:rtl/>
        </w:rPr>
        <w:t xml:space="preserve">(-) </w:t>
      </w:r>
      <w:r>
        <w:rPr>
          <w:rFonts w:ascii="David" w:hAnsi="David" w:cs="David"/>
          <w:sz w:val="24"/>
          <w:szCs w:val="24"/>
          <w:rtl/>
        </w:rPr>
        <w:tab/>
      </w:r>
      <w:r w:rsidRPr="00CC40FD">
        <w:rPr>
          <w:rFonts w:ascii="David" w:hAnsi="David" w:cs="David"/>
          <w:sz w:val="24"/>
          <w:szCs w:val="24"/>
          <w:rtl/>
        </w:rPr>
        <w:t xml:space="preserve">הנאשם נכנס לחדר של חברו ליחידה </w:t>
      </w:r>
      <w:r w:rsidRPr="007B1468">
        <w:rPr>
          <w:rFonts w:ascii="David" w:hAnsi="David" w:cs="David"/>
          <w:b/>
          <w:bCs/>
          <w:sz w:val="24"/>
          <w:szCs w:val="24"/>
          <w:rtl/>
        </w:rPr>
        <w:t>השוטר חביב</w:t>
      </w:r>
      <w:r>
        <w:rPr>
          <w:rFonts w:ascii="David" w:hAnsi="David" w:cs="David" w:hint="cs"/>
          <w:sz w:val="24"/>
          <w:szCs w:val="24"/>
          <w:rtl/>
        </w:rPr>
        <w:t>,</w:t>
      </w:r>
      <w:r w:rsidRPr="00CC40FD">
        <w:rPr>
          <w:rFonts w:ascii="David" w:hAnsi="David" w:cs="David"/>
          <w:sz w:val="24"/>
          <w:szCs w:val="24"/>
          <w:rtl/>
        </w:rPr>
        <w:t xml:space="preserve"> </w:t>
      </w:r>
      <w:r w:rsidRPr="00CC40FD">
        <w:rPr>
          <w:rFonts w:ascii="David" w:hAnsi="David" w:cs="David"/>
          <w:sz w:val="24"/>
          <w:szCs w:val="24"/>
          <w:u w:val="single"/>
          <w:rtl/>
        </w:rPr>
        <w:t>וכיוון את אקדח</w:t>
      </w:r>
      <w:r>
        <w:rPr>
          <w:rFonts w:ascii="David" w:hAnsi="David" w:cs="David" w:hint="cs"/>
          <w:sz w:val="24"/>
          <w:szCs w:val="24"/>
          <w:u w:val="single"/>
          <w:rtl/>
        </w:rPr>
        <w:t>ו</w:t>
      </w:r>
      <w:r w:rsidRPr="00CC40FD">
        <w:rPr>
          <w:rFonts w:ascii="David" w:hAnsi="David" w:cs="David"/>
          <w:sz w:val="24"/>
          <w:szCs w:val="24"/>
          <w:u w:val="single"/>
          <w:rtl/>
        </w:rPr>
        <w:t xml:space="preserve"> לעבר חביב</w:t>
      </w:r>
      <w:r w:rsidRPr="00CC40FD">
        <w:rPr>
          <w:rFonts w:ascii="David" w:hAnsi="David" w:cs="David"/>
          <w:sz w:val="24"/>
          <w:szCs w:val="24"/>
          <w:rtl/>
        </w:rPr>
        <w:t>. בתגובה, הזהיר חביב את הנאשם מפנ</w:t>
      </w:r>
      <w:r>
        <w:rPr>
          <w:rFonts w:ascii="David" w:hAnsi="David" w:cs="David" w:hint="cs"/>
          <w:sz w:val="24"/>
          <w:szCs w:val="24"/>
          <w:rtl/>
        </w:rPr>
        <w:t xml:space="preserve">י </w:t>
      </w:r>
      <w:r w:rsidRPr="00CC40FD">
        <w:rPr>
          <w:rFonts w:ascii="David" w:hAnsi="David" w:cs="David"/>
          <w:sz w:val="24"/>
          <w:szCs w:val="24"/>
          <w:rtl/>
        </w:rPr>
        <w:t>הסכנה שבמעשה באומרו "</w:t>
      </w:r>
      <w:r w:rsidRPr="00CC40FD">
        <w:rPr>
          <w:rFonts w:ascii="David" w:hAnsi="David" w:cs="David"/>
          <w:b/>
          <w:bCs/>
          <w:sz w:val="24"/>
          <w:szCs w:val="24"/>
          <w:rtl/>
        </w:rPr>
        <w:t>יפלט כדור, זה לא צחוק</w:t>
      </w:r>
      <w:r w:rsidRPr="00CC40FD">
        <w:rPr>
          <w:rFonts w:ascii="David" w:hAnsi="David" w:cs="David"/>
          <w:sz w:val="24"/>
          <w:szCs w:val="24"/>
          <w:rtl/>
        </w:rPr>
        <w:t>", אך הנאשם רק חייך בתגובה, אמר "</w:t>
      </w:r>
      <w:r w:rsidRPr="00CC40FD">
        <w:rPr>
          <w:rFonts w:ascii="David" w:hAnsi="David" w:cs="David"/>
          <w:b/>
          <w:bCs/>
          <w:sz w:val="24"/>
          <w:szCs w:val="24"/>
          <w:rtl/>
        </w:rPr>
        <w:t>לא אכפת לי</w:t>
      </w:r>
      <w:r w:rsidRPr="00CC40FD">
        <w:rPr>
          <w:rFonts w:ascii="David" w:hAnsi="David" w:cs="David"/>
          <w:sz w:val="24"/>
          <w:szCs w:val="24"/>
          <w:rtl/>
        </w:rPr>
        <w:t>" ויצא מהחדר</w:t>
      </w:r>
      <w:r>
        <w:rPr>
          <w:rFonts w:ascii="David" w:hAnsi="David" w:cs="David" w:hint="cs"/>
          <w:sz w:val="24"/>
          <w:szCs w:val="24"/>
          <w:rtl/>
        </w:rPr>
        <w:t>;</w:t>
      </w:r>
      <w:r w:rsidRPr="00CC40FD">
        <w:rPr>
          <w:rFonts w:ascii="David" w:hAnsi="David" w:cs="David"/>
          <w:sz w:val="24"/>
          <w:szCs w:val="24"/>
          <w:rtl/>
        </w:rPr>
        <w:t xml:space="preserve"> </w:t>
      </w:r>
    </w:p>
    <w:p w:rsidR="00272CAC" w:rsidRPr="00CC40FD" w:rsidRDefault="00272CAC" w:rsidP="00272CAC">
      <w:pPr>
        <w:pStyle w:val="ac"/>
        <w:spacing w:after="0" w:line="360" w:lineRule="auto"/>
        <w:ind w:left="0"/>
        <w:jc w:val="both"/>
        <w:rPr>
          <w:rFonts w:ascii="David" w:hAnsi="David" w:cs="David"/>
          <w:sz w:val="24"/>
          <w:szCs w:val="24"/>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הנאשם </w:t>
      </w:r>
      <w:r>
        <w:rPr>
          <w:rFonts w:ascii="David" w:hAnsi="David" w:cs="David" w:hint="cs"/>
          <w:sz w:val="24"/>
          <w:szCs w:val="24"/>
          <w:rtl/>
        </w:rPr>
        <w:t xml:space="preserve">הגיע </w:t>
      </w:r>
      <w:r w:rsidRPr="00CC40FD">
        <w:rPr>
          <w:rFonts w:ascii="David" w:hAnsi="David" w:cs="David"/>
          <w:sz w:val="24"/>
          <w:szCs w:val="24"/>
          <w:rtl/>
        </w:rPr>
        <w:t xml:space="preserve">לחדר מגורים בבסיס שם היו אותה שעה שוטרים נוספים וביניהם </w:t>
      </w:r>
      <w:r w:rsidRPr="007B1468">
        <w:rPr>
          <w:rFonts w:ascii="David" w:hAnsi="David" w:cs="David"/>
          <w:b/>
          <w:bCs/>
          <w:sz w:val="24"/>
          <w:szCs w:val="24"/>
          <w:rtl/>
        </w:rPr>
        <w:t>השוטרים עמיד ונסיב</w:t>
      </w:r>
      <w:r>
        <w:rPr>
          <w:rFonts w:ascii="David" w:hAnsi="David" w:cs="David" w:hint="cs"/>
          <w:sz w:val="24"/>
          <w:szCs w:val="24"/>
          <w:rtl/>
        </w:rPr>
        <w:t xml:space="preserve">, </w:t>
      </w:r>
      <w:r w:rsidRPr="00CC40FD">
        <w:rPr>
          <w:rFonts w:ascii="David" w:hAnsi="David" w:cs="David"/>
          <w:sz w:val="24"/>
          <w:szCs w:val="24"/>
          <w:u w:val="single"/>
          <w:rtl/>
        </w:rPr>
        <w:t>שלף את אקדח</w:t>
      </w:r>
      <w:r>
        <w:rPr>
          <w:rFonts w:ascii="David" w:hAnsi="David" w:cs="David" w:hint="cs"/>
          <w:sz w:val="24"/>
          <w:szCs w:val="24"/>
          <w:u w:val="single"/>
          <w:rtl/>
        </w:rPr>
        <w:t>ו</w:t>
      </w:r>
      <w:r w:rsidRPr="00CC40FD">
        <w:rPr>
          <w:rFonts w:ascii="David" w:hAnsi="David" w:cs="David"/>
          <w:sz w:val="24"/>
          <w:szCs w:val="24"/>
          <w:u w:val="single"/>
          <w:rtl/>
        </w:rPr>
        <w:t xml:space="preserve"> בעת שהייתה בו מחסנית מלאה בכדורים, כיוונו היישר אל עבר נסיב </w:t>
      </w:r>
      <w:r w:rsidRPr="00695C67">
        <w:rPr>
          <w:rFonts w:ascii="David" w:hAnsi="David" w:cs="David"/>
          <w:b/>
          <w:bCs/>
          <w:sz w:val="24"/>
          <w:szCs w:val="24"/>
          <w:u w:val="single"/>
          <w:rtl/>
        </w:rPr>
        <w:t>ודרך אותו</w:t>
      </w:r>
      <w:r w:rsidRPr="00CC40FD">
        <w:rPr>
          <w:rFonts w:ascii="David" w:hAnsi="David" w:cs="David"/>
          <w:sz w:val="24"/>
          <w:szCs w:val="24"/>
          <w:rtl/>
        </w:rPr>
        <w:t xml:space="preserve">. בתגובה, נטל עמיד את האקדח מידו של הנאשם, פרק אותו והוציא כדור </w:t>
      </w:r>
      <w:r w:rsidRPr="00CC40FD">
        <w:rPr>
          <w:rFonts w:ascii="David" w:hAnsi="David" w:cs="David"/>
          <w:sz w:val="24"/>
          <w:szCs w:val="24"/>
          <w:rtl/>
        </w:rPr>
        <w:lastRenderedPageBreak/>
        <w:t>מבית הבליעה. לאחר פריקת הנשק, הזהיר עמיד את הנאשם, ביקש ממנו לחדול מלשח</w:t>
      </w:r>
      <w:r>
        <w:rPr>
          <w:rFonts w:ascii="David" w:hAnsi="David" w:cs="David" w:hint="cs"/>
          <w:sz w:val="24"/>
          <w:szCs w:val="24"/>
          <w:rtl/>
        </w:rPr>
        <w:t xml:space="preserve">ק </w:t>
      </w:r>
      <w:r w:rsidRPr="00CC40FD">
        <w:rPr>
          <w:rFonts w:ascii="David" w:hAnsi="David" w:cs="David"/>
          <w:sz w:val="24"/>
          <w:szCs w:val="24"/>
          <w:rtl/>
        </w:rPr>
        <w:t>בנ</w:t>
      </w:r>
      <w:r>
        <w:rPr>
          <w:rFonts w:ascii="David" w:hAnsi="David" w:cs="David" w:hint="cs"/>
          <w:sz w:val="24"/>
          <w:szCs w:val="24"/>
          <w:rtl/>
        </w:rPr>
        <w:t>ש</w:t>
      </w:r>
      <w:r w:rsidRPr="00CC40FD">
        <w:rPr>
          <w:rFonts w:ascii="David" w:hAnsi="David" w:cs="David"/>
          <w:sz w:val="24"/>
          <w:szCs w:val="24"/>
          <w:rtl/>
        </w:rPr>
        <w:t>ק ואמר לו כי בפ</w:t>
      </w:r>
      <w:r>
        <w:rPr>
          <w:rFonts w:ascii="David" w:hAnsi="David" w:cs="David"/>
          <w:sz w:val="24"/>
          <w:szCs w:val="24"/>
          <w:rtl/>
        </w:rPr>
        <w:t>עם הבאה ידווח על המעשה למפקדים</w:t>
      </w:r>
      <w:r>
        <w:rPr>
          <w:rFonts w:ascii="David" w:hAnsi="David" w:cs="David" w:hint="cs"/>
          <w:sz w:val="24"/>
          <w:szCs w:val="24"/>
          <w:rtl/>
        </w:rPr>
        <w:t>;</w:t>
      </w:r>
    </w:p>
    <w:p w:rsidR="00272CAC" w:rsidRPr="00CC40FD" w:rsidRDefault="00272CAC" w:rsidP="00272CAC">
      <w:pPr>
        <w:pStyle w:val="ac"/>
        <w:spacing w:after="0" w:line="360" w:lineRule="auto"/>
        <w:ind w:left="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בחדר מגורים בבסיס עמד הנאשם מול </w:t>
      </w:r>
      <w:r>
        <w:rPr>
          <w:rFonts w:ascii="David" w:hAnsi="David" w:cs="David" w:hint="cs"/>
          <w:sz w:val="24"/>
          <w:szCs w:val="24"/>
          <w:rtl/>
        </w:rPr>
        <w:t xml:space="preserve">חברו ליחידה </w:t>
      </w:r>
      <w:r w:rsidRPr="007B1468">
        <w:rPr>
          <w:rFonts w:ascii="David" w:hAnsi="David" w:cs="David"/>
          <w:b/>
          <w:bCs/>
          <w:sz w:val="24"/>
          <w:szCs w:val="24"/>
          <w:rtl/>
        </w:rPr>
        <w:t>השוטר אור</w:t>
      </w:r>
      <w:r w:rsidRPr="00CC40FD">
        <w:rPr>
          <w:rFonts w:ascii="David" w:hAnsi="David" w:cs="David"/>
          <w:sz w:val="24"/>
          <w:szCs w:val="24"/>
          <w:rtl/>
        </w:rPr>
        <w:t xml:space="preserve"> במרחק של 2-3 מטרים, </w:t>
      </w:r>
      <w:r w:rsidRPr="00CC40FD">
        <w:rPr>
          <w:rFonts w:ascii="David" w:hAnsi="David" w:cs="David"/>
          <w:sz w:val="24"/>
          <w:szCs w:val="24"/>
          <w:u w:val="single"/>
          <w:rtl/>
        </w:rPr>
        <w:t>שלף את אקדח</w:t>
      </w:r>
      <w:r>
        <w:rPr>
          <w:rFonts w:ascii="David" w:hAnsi="David" w:cs="David" w:hint="cs"/>
          <w:sz w:val="24"/>
          <w:szCs w:val="24"/>
          <w:u w:val="single"/>
          <w:rtl/>
        </w:rPr>
        <w:t>ו</w:t>
      </w:r>
      <w:r w:rsidRPr="00CC40FD">
        <w:rPr>
          <w:rFonts w:ascii="David" w:hAnsi="David" w:cs="David"/>
          <w:sz w:val="24"/>
          <w:szCs w:val="24"/>
          <w:u w:val="single"/>
          <w:rtl/>
        </w:rPr>
        <w:t xml:space="preserve"> בעת שהייתה בו מחסנית מלאה בכדורים, </w:t>
      </w:r>
      <w:r w:rsidRPr="00695C67">
        <w:rPr>
          <w:rFonts w:ascii="David" w:hAnsi="David" w:cs="David"/>
          <w:b/>
          <w:bCs/>
          <w:sz w:val="24"/>
          <w:szCs w:val="24"/>
          <w:u w:val="single"/>
          <w:rtl/>
        </w:rPr>
        <w:t>דרך אותו</w:t>
      </w:r>
      <w:r w:rsidRPr="00CC40FD">
        <w:rPr>
          <w:rFonts w:ascii="David" w:hAnsi="David" w:cs="David"/>
          <w:sz w:val="24"/>
          <w:szCs w:val="24"/>
          <w:u w:val="single"/>
          <w:rtl/>
        </w:rPr>
        <w:t xml:space="preserve"> </w:t>
      </w:r>
      <w:r>
        <w:rPr>
          <w:rFonts w:ascii="David" w:hAnsi="David" w:cs="David" w:hint="cs"/>
          <w:sz w:val="24"/>
          <w:szCs w:val="24"/>
          <w:u w:val="single"/>
          <w:rtl/>
        </w:rPr>
        <w:t>ו</w:t>
      </w:r>
      <w:r w:rsidRPr="00CC40FD">
        <w:rPr>
          <w:rFonts w:ascii="David" w:hAnsi="David" w:cs="David"/>
          <w:sz w:val="24"/>
          <w:szCs w:val="24"/>
          <w:u w:val="single"/>
          <w:rtl/>
        </w:rPr>
        <w:t>כיוונו לעבר אור, תוך שהוא צוחק</w:t>
      </w:r>
      <w:r w:rsidRPr="00CC40FD">
        <w:rPr>
          <w:rFonts w:ascii="David" w:hAnsi="David" w:cs="David"/>
          <w:sz w:val="24"/>
          <w:szCs w:val="24"/>
          <w:rtl/>
        </w:rPr>
        <w:t xml:space="preserve">. מיד לאחר מכן, בעוד הנאשם מכוון את האקדח לעברו של אור, ובעת שהיה בו כדור בבית הבליעה, </w:t>
      </w:r>
      <w:r w:rsidRPr="00695C67">
        <w:rPr>
          <w:rFonts w:ascii="David" w:hAnsi="David" w:cs="David"/>
          <w:sz w:val="24"/>
          <w:szCs w:val="24"/>
          <w:rtl/>
        </w:rPr>
        <w:t>דרך את הנשק בשנית</w:t>
      </w:r>
      <w:r w:rsidRPr="00CC40FD">
        <w:rPr>
          <w:rFonts w:ascii="David" w:hAnsi="David" w:cs="David"/>
          <w:sz w:val="24"/>
          <w:szCs w:val="24"/>
          <w:rtl/>
        </w:rPr>
        <w:t>, והוציא החוצה את הכדור שנגרף אל בית הבליעה של האקדח</w:t>
      </w:r>
      <w:r>
        <w:rPr>
          <w:rFonts w:ascii="David" w:hAnsi="David" w:cs="David" w:hint="cs"/>
          <w:sz w:val="24"/>
          <w:szCs w:val="24"/>
          <w:rtl/>
        </w:rPr>
        <w:t>;</w:t>
      </w:r>
      <w:r w:rsidRPr="00CC40FD">
        <w:rPr>
          <w:rFonts w:ascii="David" w:hAnsi="David" w:cs="David"/>
          <w:sz w:val="24"/>
          <w:szCs w:val="24"/>
          <w:rtl/>
        </w:rPr>
        <w:t xml:space="preserve"> </w:t>
      </w:r>
    </w:p>
    <w:p w:rsidR="00272CAC" w:rsidRPr="00CC40FD" w:rsidRDefault="00272CAC" w:rsidP="00272CAC">
      <w:pPr>
        <w:pStyle w:val="ac"/>
        <w:spacing w:after="0" w:line="360" w:lineRule="auto"/>
        <w:ind w:left="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הנאשם </w:t>
      </w:r>
      <w:r w:rsidRPr="00CC40FD">
        <w:rPr>
          <w:rFonts w:ascii="David" w:hAnsi="David" w:cs="David"/>
          <w:sz w:val="24"/>
          <w:szCs w:val="24"/>
          <w:u w:val="single"/>
          <w:rtl/>
        </w:rPr>
        <w:t>כיוון את אקדח</w:t>
      </w:r>
      <w:r>
        <w:rPr>
          <w:rFonts w:ascii="David" w:hAnsi="David" w:cs="David" w:hint="cs"/>
          <w:sz w:val="24"/>
          <w:szCs w:val="24"/>
          <w:u w:val="single"/>
          <w:rtl/>
        </w:rPr>
        <w:t>ו</w:t>
      </w:r>
      <w:r w:rsidRPr="00CC40FD">
        <w:rPr>
          <w:rFonts w:ascii="David" w:hAnsi="David" w:cs="David"/>
          <w:sz w:val="24"/>
          <w:szCs w:val="24"/>
          <w:u w:val="single"/>
          <w:rtl/>
        </w:rPr>
        <w:t xml:space="preserve"> לעבר </w:t>
      </w:r>
      <w:r w:rsidRPr="00CC40FD">
        <w:rPr>
          <w:rFonts w:ascii="David" w:hAnsi="David" w:cs="David" w:hint="cs"/>
          <w:sz w:val="24"/>
          <w:szCs w:val="24"/>
          <w:u w:val="single"/>
          <w:rtl/>
        </w:rPr>
        <w:t xml:space="preserve">חברתו ליחידה </w:t>
      </w:r>
      <w:r w:rsidRPr="007B1468">
        <w:rPr>
          <w:rFonts w:ascii="David" w:hAnsi="David" w:cs="David"/>
          <w:b/>
          <w:bCs/>
          <w:sz w:val="24"/>
          <w:szCs w:val="24"/>
          <w:u w:val="single"/>
          <w:rtl/>
        </w:rPr>
        <w:t>השוטרת רותם</w:t>
      </w:r>
      <w:r w:rsidRPr="00CC40FD">
        <w:rPr>
          <w:rFonts w:ascii="David" w:hAnsi="David" w:cs="David" w:hint="cs"/>
          <w:sz w:val="24"/>
          <w:szCs w:val="24"/>
          <w:u w:val="single"/>
          <w:rtl/>
        </w:rPr>
        <w:t xml:space="preserve"> שישבה לצדו</w:t>
      </w:r>
      <w:r w:rsidRPr="00CC40FD">
        <w:rPr>
          <w:rFonts w:ascii="David" w:hAnsi="David" w:cs="David"/>
          <w:sz w:val="24"/>
          <w:szCs w:val="24"/>
          <w:rtl/>
        </w:rPr>
        <w:t>. בתגובה, החלה רותם לצעוק והנאשם החזיר מיד לאחר מכן את אקדחו לפונדה</w:t>
      </w:r>
      <w:r>
        <w:rPr>
          <w:rFonts w:ascii="David" w:hAnsi="David" w:cs="David" w:hint="cs"/>
          <w:sz w:val="24"/>
          <w:szCs w:val="24"/>
          <w:rtl/>
        </w:rPr>
        <w:t xml:space="preserve"> (נרתיק האקדח)</w:t>
      </w:r>
      <w:r w:rsidRPr="00CC40FD">
        <w:rPr>
          <w:rFonts w:ascii="David" w:hAnsi="David" w:cs="David"/>
          <w:sz w:val="24"/>
          <w:szCs w:val="24"/>
          <w:rtl/>
        </w:rPr>
        <w:t>.</w:t>
      </w:r>
    </w:p>
    <w:p w:rsidR="00272CAC" w:rsidRPr="00187E01" w:rsidRDefault="00272CAC" w:rsidP="00272CAC">
      <w:pPr>
        <w:pStyle w:val="ac"/>
        <w:spacing w:after="0" w:line="360" w:lineRule="auto"/>
        <w:ind w:left="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בהיותו ברכב עם </w:t>
      </w:r>
      <w:r>
        <w:rPr>
          <w:rFonts w:ascii="David" w:hAnsi="David" w:cs="David" w:hint="cs"/>
          <w:sz w:val="24"/>
          <w:szCs w:val="24"/>
          <w:rtl/>
        </w:rPr>
        <w:t xml:space="preserve">חברתו ליחידה </w:t>
      </w:r>
      <w:r w:rsidRPr="007B1468">
        <w:rPr>
          <w:rFonts w:ascii="David" w:hAnsi="David" w:cs="David"/>
          <w:b/>
          <w:bCs/>
          <w:sz w:val="24"/>
          <w:szCs w:val="24"/>
          <w:rtl/>
        </w:rPr>
        <w:t>השוטרת ניקול</w:t>
      </w:r>
      <w:r w:rsidRPr="00CC40FD">
        <w:rPr>
          <w:rFonts w:ascii="David" w:hAnsi="David" w:cs="David"/>
          <w:sz w:val="24"/>
          <w:szCs w:val="24"/>
          <w:rtl/>
        </w:rPr>
        <w:t xml:space="preserve">, </w:t>
      </w:r>
      <w:r w:rsidRPr="00187E01">
        <w:rPr>
          <w:rFonts w:ascii="David" w:hAnsi="David" w:cs="David"/>
          <w:sz w:val="24"/>
          <w:szCs w:val="24"/>
          <w:u w:val="single"/>
          <w:rtl/>
        </w:rPr>
        <w:t>שלף הנאשם את אקדח</w:t>
      </w:r>
      <w:r>
        <w:rPr>
          <w:rFonts w:ascii="David" w:hAnsi="David" w:cs="David" w:hint="cs"/>
          <w:sz w:val="24"/>
          <w:szCs w:val="24"/>
          <w:u w:val="single"/>
          <w:rtl/>
        </w:rPr>
        <w:t>ו</w:t>
      </w:r>
      <w:r w:rsidRPr="00187E01">
        <w:rPr>
          <w:rFonts w:ascii="David" w:hAnsi="David" w:cs="David"/>
          <w:sz w:val="24"/>
          <w:szCs w:val="24"/>
          <w:u w:val="single"/>
          <w:rtl/>
        </w:rPr>
        <w:t xml:space="preserve"> והחזיקו בין רגליו, תוך שהוא אומר לה "תיזהרי"</w:t>
      </w:r>
      <w:r w:rsidRPr="00CC40FD">
        <w:rPr>
          <w:rFonts w:ascii="David" w:hAnsi="David" w:cs="David"/>
          <w:sz w:val="24"/>
          <w:szCs w:val="24"/>
          <w:rtl/>
        </w:rPr>
        <w:t>. בטרם השלים הנאשם את מה שנחזה כפעולת הנפת האקדח לכיוונה, החלה ניקול לצעוק לעברו שלא יעשה זאת מאחר והדבר מסוכן וכי עלול להיפלט כדור מהאקדח. בתגובה, חדל הנאשם מהמעשה ואמר לניקול "</w:t>
      </w:r>
      <w:r w:rsidRPr="00187E01">
        <w:rPr>
          <w:rFonts w:ascii="David" w:hAnsi="David" w:cs="David"/>
          <w:b/>
          <w:bCs/>
          <w:sz w:val="24"/>
          <w:szCs w:val="24"/>
          <w:rtl/>
        </w:rPr>
        <w:t>נראה לך שייפלט כדור? אני יודע מתי יש כדור בתוך האקדח ומתי לא</w:t>
      </w:r>
      <w:r w:rsidRPr="00CC40FD">
        <w:rPr>
          <w:rFonts w:ascii="David" w:hAnsi="David" w:cs="David"/>
          <w:sz w:val="24"/>
          <w:szCs w:val="24"/>
          <w:rtl/>
        </w:rPr>
        <w:t xml:space="preserve">". </w:t>
      </w:r>
    </w:p>
    <w:p w:rsidR="00272CAC" w:rsidRPr="00CC40FD" w:rsidRDefault="00272CAC" w:rsidP="00272CAC">
      <w:pPr>
        <w:pStyle w:val="ac"/>
        <w:spacing w:after="0" w:line="360" w:lineRule="auto"/>
        <w:ind w:left="0"/>
        <w:jc w:val="both"/>
        <w:rPr>
          <w:rFonts w:ascii="David" w:hAnsi="David" w:cs="David"/>
          <w:sz w:val="24"/>
          <w:szCs w:val="24"/>
          <w:rtl/>
        </w:rPr>
      </w:pPr>
    </w:p>
    <w:p w:rsidR="00272CAC" w:rsidRDefault="00272CAC" w:rsidP="00272CAC">
      <w:pPr>
        <w:pStyle w:val="ac"/>
        <w:spacing w:after="0" w:line="360" w:lineRule="auto"/>
        <w:ind w:hanging="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בעת שהייה במטווח יחד עם שוטרים נוספים ובעומדם על 'קו היורים', איים הנאשם על </w:t>
      </w:r>
      <w:r>
        <w:rPr>
          <w:rFonts w:ascii="David" w:hAnsi="David" w:cs="David" w:hint="cs"/>
          <w:sz w:val="24"/>
          <w:szCs w:val="24"/>
          <w:rtl/>
        </w:rPr>
        <w:t xml:space="preserve">חברו ליחידה </w:t>
      </w:r>
      <w:r w:rsidRPr="007B1468">
        <w:rPr>
          <w:rFonts w:ascii="David" w:hAnsi="David" w:cs="David" w:hint="cs"/>
          <w:b/>
          <w:bCs/>
          <w:sz w:val="24"/>
          <w:szCs w:val="24"/>
          <w:rtl/>
        </w:rPr>
        <w:t>נסיב</w:t>
      </w:r>
      <w:r>
        <w:rPr>
          <w:rFonts w:ascii="David" w:hAnsi="David" w:cs="David" w:hint="cs"/>
          <w:sz w:val="24"/>
          <w:szCs w:val="24"/>
          <w:rtl/>
        </w:rPr>
        <w:t xml:space="preserve"> שהוזכר לעיל, </w:t>
      </w:r>
      <w:r w:rsidRPr="00CC40FD">
        <w:rPr>
          <w:rFonts w:ascii="David" w:hAnsi="David" w:cs="David"/>
          <w:sz w:val="24"/>
          <w:szCs w:val="24"/>
          <w:rtl/>
        </w:rPr>
        <w:t>באומרו "</w:t>
      </w:r>
      <w:r w:rsidRPr="00187E01">
        <w:rPr>
          <w:rFonts w:ascii="David" w:hAnsi="David" w:cs="David"/>
          <w:b/>
          <w:bCs/>
          <w:sz w:val="24"/>
          <w:szCs w:val="24"/>
          <w:rtl/>
        </w:rPr>
        <w:t>אני חולה נפש ואני אירה בך</w:t>
      </w:r>
      <w:r w:rsidRPr="00CC40FD">
        <w:rPr>
          <w:rFonts w:ascii="David" w:hAnsi="David" w:cs="David"/>
          <w:sz w:val="24"/>
          <w:szCs w:val="24"/>
          <w:rtl/>
        </w:rPr>
        <w:t xml:space="preserve">", תוך </w:t>
      </w:r>
      <w:r w:rsidRPr="00187E01">
        <w:rPr>
          <w:rFonts w:ascii="David" w:hAnsi="David" w:cs="David"/>
          <w:sz w:val="24"/>
          <w:szCs w:val="24"/>
          <w:u w:val="single"/>
          <w:rtl/>
        </w:rPr>
        <w:t>ש</w:t>
      </w:r>
      <w:r w:rsidRPr="00187E01">
        <w:rPr>
          <w:rFonts w:ascii="David" w:hAnsi="David" w:cs="David" w:hint="cs"/>
          <w:sz w:val="24"/>
          <w:szCs w:val="24"/>
          <w:u w:val="single"/>
          <w:rtl/>
        </w:rPr>
        <w:t>ה</w:t>
      </w:r>
      <w:r w:rsidRPr="00187E01">
        <w:rPr>
          <w:rFonts w:ascii="David" w:hAnsi="David" w:cs="David"/>
          <w:sz w:val="24"/>
          <w:szCs w:val="24"/>
          <w:u w:val="single"/>
          <w:rtl/>
        </w:rPr>
        <w:t>צמיד לגבו של נסיב את האצבע המורה או את קנה האקדח</w:t>
      </w:r>
      <w:r w:rsidRPr="00CC40FD">
        <w:rPr>
          <w:rFonts w:ascii="David" w:hAnsi="David" w:cs="David"/>
          <w:sz w:val="24"/>
          <w:szCs w:val="24"/>
          <w:rtl/>
        </w:rPr>
        <w:t xml:space="preserve">. במועד נוסף, </w:t>
      </w:r>
      <w:r w:rsidRPr="00187E01">
        <w:rPr>
          <w:rFonts w:ascii="David" w:hAnsi="David" w:cs="David"/>
          <w:sz w:val="24"/>
          <w:szCs w:val="24"/>
          <w:u w:val="single"/>
          <w:rtl/>
        </w:rPr>
        <w:t>חלף הנאשם על פני חדרו של נסיב, דרך את האקדח וכיוונו לעבר נסיב</w:t>
      </w:r>
      <w:r w:rsidRPr="00CC40FD">
        <w:rPr>
          <w:rFonts w:ascii="David" w:hAnsi="David" w:cs="David"/>
          <w:sz w:val="24"/>
          <w:szCs w:val="24"/>
          <w:rtl/>
        </w:rPr>
        <w:t xml:space="preserve">. </w:t>
      </w:r>
    </w:p>
    <w:p w:rsidR="00272CAC" w:rsidRDefault="00272CAC" w:rsidP="00272CAC">
      <w:pPr>
        <w:pStyle w:val="ac"/>
        <w:spacing w:after="0" w:line="360" w:lineRule="auto"/>
        <w:ind w:hanging="720"/>
        <w:jc w:val="both"/>
        <w:rPr>
          <w:rFonts w:ascii="David" w:hAnsi="David" w:cs="David"/>
          <w:sz w:val="24"/>
          <w:szCs w:val="24"/>
          <w:rtl/>
        </w:rPr>
      </w:pPr>
    </w:p>
    <w:p w:rsidR="00272CAC" w:rsidRDefault="00272CAC" w:rsidP="00272CAC">
      <w:pPr>
        <w:pStyle w:val="ac"/>
        <w:spacing w:after="0" w:line="360" w:lineRule="auto"/>
        <w:ind w:hanging="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בשתי הזדמנויות שונות, </w:t>
      </w:r>
      <w:r w:rsidRPr="00187E01">
        <w:rPr>
          <w:rFonts w:ascii="David" w:hAnsi="David" w:cs="David"/>
          <w:sz w:val="24"/>
          <w:szCs w:val="24"/>
          <w:u w:val="single"/>
          <w:rtl/>
        </w:rPr>
        <w:t>שלף הנאשם את האקדח בעת שהיה ללא מחסנית</w:t>
      </w:r>
      <w:r w:rsidRPr="00CC40FD">
        <w:rPr>
          <w:rFonts w:ascii="David" w:hAnsi="David" w:cs="David"/>
          <w:sz w:val="24"/>
          <w:szCs w:val="24"/>
          <w:rtl/>
        </w:rPr>
        <w:t xml:space="preserve"> וכיוונו לעבר ארון או מיטה בחדר בו נכח </w:t>
      </w:r>
      <w:r>
        <w:rPr>
          <w:rFonts w:ascii="David" w:hAnsi="David" w:cs="David" w:hint="cs"/>
          <w:sz w:val="24"/>
          <w:szCs w:val="24"/>
          <w:rtl/>
        </w:rPr>
        <w:t xml:space="preserve">חברו ליחידה </w:t>
      </w:r>
      <w:r w:rsidRPr="007B1468">
        <w:rPr>
          <w:rFonts w:ascii="David" w:hAnsi="David" w:cs="David" w:hint="cs"/>
          <w:b/>
          <w:bCs/>
          <w:sz w:val="24"/>
          <w:szCs w:val="24"/>
          <w:rtl/>
        </w:rPr>
        <w:t>השוטר א'</w:t>
      </w:r>
      <w:r w:rsidRPr="00CC40FD">
        <w:rPr>
          <w:rFonts w:ascii="David" w:hAnsi="David" w:cs="David"/>
          <w:sz w:val="24"/>
          <w:szCs w:val="24"/>
          <w:rtl/>
        </w:rPr>
        <w:t xml:space="preserve">, </w:t>
      </w:r>
      <w:r w:rsidRPr="00187E01">
        <w:rPr>
          <w:rFonts w:ascii="David" w:hAnsi="David" w:cs="David"/>
          <w:sz w:val="24"/>
          <w:szCs w:val="24"/>
          <w:u w:val="single"/>
          <w:rtl/>
        </w:rPr>
        <w:t>לחץ על ההדק וביצע נקירה</w:t>
      </w:r>
      <w:r w:rsidRPr="00CC40FD">
        <w:rPr>
          <w:rFonts w:ascii="David" w:hAnsi="David" w:cs="David"/>
          <w:sz w:val="24"/>
          <w:szCs w:val="24"/>
          <w:rtl/>
        </w:rPr>
        <w:t>.</w:t>
      </w:r>
    </w:p>
    <w:p w:rsidR="00272CAC" w:rsidRDefault="00272CAC" w:rsidP="00272CAC">
      <w:pPr>
        <w:pStyle w:val="ac"/>
        <w:spacing w:after="0" w:line="360" w:lineRule="auto"/>
        <w:ind w:hanging="72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במספר הזדמנויות שונות במהלך ההפסקות במשמרות, </w:t>
      </w:r>
      <w:r w:rsidRPr="00695C67">
        <w:rPr>
          <w:rFonts w:ascii="David" w:hAnsi="David" w:cs="David"/>
          <w:sz w:val="24"/>
          <w:szCs w:val="24"/>
          <w:u w:val="single"/>
          <w:rtl/>
        </w:rPr>
        <w:t xml:space="preserve">הוציא הנאשם את אקדחו מהנרתיק והחזיקו ובחלק מהפעמים כיוון את אקדחו לעבר </w:t>
      </w:r>
      <w:r w:rsidRPr="007B1468">
        <w:rPr>
          <w:rFonts w:ascii="David" w:hAnsi="David" w:cs="David" w:hint="cs"/>
          <w:b/>
          <w:bCs/>
          <w:sz w:val="24"/>
          <w:szCs w:val="24"/>
          <w:rtl/>
        </w:rPr>
        <w:t xml:space="preserve">השוטר </w:t>
      </w:r>
      <w:r w:rsidRPr="007B1468">
        <w:rPr>
          <w:rFonts w:ascii="David" w:hAnsi="David" w:cs="David"/>
          <w:b/>
          <w:bCs/>
          <w:sz w:val="24"/>
          <w:szCs w:val="24"/>
          <w:rtl/>
        </w:rPr>
        <w:t>סוועאד</w:t>
      </w:r>
      <w:r w:rsidRPr="00CC40FD">
        <w:rPr>
          <w:rFonts w:ascii="David" w:hAnsi="David" w:cs="David"/>
          <w:sz w:val="24"/>
          <w:szCs w:val="24"/>
          <w:rtl/>
        </w:rPr>
        <w:t xml:space="preserve"> ובאחת הפע</w:t>
      </w:r>
      <w:r>
        <w:rPr>
          <w:rFonts w:ascii="David" w:hAnsi="David" w:cs="David" w:hint="cs"/>
          <w:sz w:val="24"/>
          <w:szCs w:val="24"/>
          <w:rtl/>
        </w:rPr>
        <w:t>מי</w:t>
      </w:r>
      <w:r w:rsidRPr="00CC40FD">
        <w:rPr>
          <w:rFonts w:ascii="David" w:hAnsi="David" w:cs="David"/>
          <w:sz w:val="24"/>
          <w:szCs w:val="24"/>
          <w:rtl/>
        </w:rPr>
        <w:t>ם אף ליווה זאת באמירה "</w:t>
      </w:r>
      <w:r w:rsidRPr="00187E01">
        <w:rPr>
          <w:rFonts w:ascii="David" w:hAnsi="David" w:cs="David"/>
          <w:b/>
          <w:bCs/>
          <w:sz w:val="24"/>
          <w:szCs w:val="24"/>
          <w:rtl/>
        </w:rPr>
        <w:t>אני יורה בך</w:t>
      </w:r>
      <w:r w:rsidRPr="00CC40FD">
        <w:rPr>
          <w:rFonts w:ascii="David" w:hAnsi="David" w:cs="David"/>
          <w:sz w:val="24"/>
          <w:szCs w:val="24"/>
          <w:rtl/>
        </w:rPr>
        <w:t>". שוטר אחר שנכח באותה עת בחדר, הורה לנאשם להיזהר ולהחזיר את הנשק לפונדה.</w:t>
      </w:r>
    </w:p>
    <w:p w:rsidR="00272CAC" w:rsidRDefault="00272CAC" w:rsidP="00272CAC">
      <w:pPr>
        <w:pStyle w:val="ac"/>
        <w:spacing w:after="0" w:line="360" w:lineRule="auto"/>
        <w:ind w:left="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במועד אחר, נכנס הנאשם לחדרו של </w:t>
      </w:r>
      <w:r w:rsidRPr="007B1468">
        <w:rPr>
          <w:rFonts w:ascii="David" w:hAnsi="David" w:cs="David" w:hint="cs"/>
          <w:b/>
          <w:bCs/>
          <w:sz w:val="24"/>
          <w:szCs w:val="24"/>
          <w:rtl/>
        </w:rPr>
        <w:t xml:space="preserve">השוטר </w:t>
      </w:r>
      <w:r w:rsidRPr="007B1468">
        <w:rPr>
          <w:rFonts w:ascii="David" w:hAnsi="David" w:cs="David"/>
          <w:b/>
          <w:bCs/>
          <w:sz w:val="24"/>
          <w:szCs w:val="24"/>
          <w:rtl/>
        </w:rPr>
        <w:t>סוועאד</w:t>
      </w:r>
      <w:r w:rsidRPr="00CC40FD">
        <w:rPr>
          <w:rFonts w:ascii="David" w:hAnsi="David" w:cs="David"/>
          <w:sz w:val="24"/>
          <w:szCs w:val="24"/>
          <w:rtl/>
        </w:rPr>
        <w:t xml:space="preserve"> ביצע </w:t>
      </w:r>
      <w:r w:rsidRPr="006250D5">
        <w:rPr>
          <w:rFonts w:ascii="David" w:hAnsi="David" w:cs="David"/>
          <w:sz w:val="24"/>
          <w:szCs w:val="24"/>
          <w:rtl/>
        </w:rPr>
        <w:t>תנועת נשיכה של האצ</w:t>
      </w:r>
      <w:r w:rsidRPr="006250D5">
        <w:rPr>
          <w:rFonts w:ascii="David" w:hAnsi="David" w:cs="David" w:hint="cs"/>
          <w:sz w:val="24"/>
          <w:szCs w:val="24"/>
          <w:rtl/>
        </w:rPr>
        <w:t>ב</w:t>
      </w:r>
      <w:r w:rsidRPr="006250D5">
        <w:rPr>
          <w:rFonts w:ascii="David" w:hAnsi="David" w:cs="David"/>
          <w:sz w:val="24"/>
          <w:szCs w:val="24"/>
          <w:rtl/>
        </w:rPr>
        <w:t>ע ואיים באומרו</w:t>
      </w:r>
      <w:r w:rsidRPr="00CC40FD">
        <w:rPr>
          <w:rFonts w:ascii="David" w:hAnsi="David" w:cs="David"/>
          <w:sz w:val="24"/>
          <w:szCs w:val="24"/>
          <w:rtl/>
        </w:rPr>
        <w:t xml:space="preserve"> "אני אשחט אותך", </w:t>
      </w:r>
      <w:r w:rsidRPr="00695C67">
        <w:rPr>
          <w:rFonts w:ascii="David" w:hAnsi="David" w:cs="David"/>
          <w:sz w:val="24"/>
          <w:szCs w:val="24"/>
          <w:u w:val="single"/>
          <w:rtl/>
        </w:rPr>
        <w:t xml:space="preserve">שלף את האקדח, קירב אותו לגופו של סוועאד וקירב את אצבעו </w:t>
      </w:r>
      <w:r w:rsidRPr="00695C67">
        <w:rPr>
          <w:rFonts w:ascii="David" w:hAnsi="David" w:cs="David"/>
          <w:sz w:val="24"/>
          <w:szCs w:val="24"/>
          <w:u w:val="single"/>
          <w:rtl/>
        </w:rPr>
        <w:lastRenderedPageBreak/>
        <w:t>לעבר שמורת ההדק</w:t>
      </w:r>
      <w:r w:rsidRPr="00CC40FD">
        <w:rPr>
          <w:rFonts w:ascii="David" w:hAnsi="David" w:cs="David"/>
          <w:sz w:val="24"/>
          <w:szCs w:val="24"/>
          <w:rtl/>
        </w:rPr>
        <w:t xml:space="preserve">. שוטר אחר </w:t>
      </w:r>
      <w:r>
        <w:rPr>
          <w:rFonts w:ascii="David" w:hAnsi="David" w:cs="David" w:hint="cs"/>
          <w:sz w:val="24"/>
          <w:szCs w:val="24"/>
          <w:rtl/>
        </w:rPr>
        <w:t>ש</w:t>
      </w:r>
      <w:r w:rsidRPr="00CC40FD">
        <w:rPr>
          <w:rFonts w:ascii="David" w:hAnsi="David" w:cs="David"/>
          <w:sz w:val="24"/>
          <w:szCs w:val="24"/>
          <w:rtl/>
        </w:rPr>
        <w:t>נכח בחדר התקרב אל הנאשם ובתגובה החזיר הנאשם את האקדח לפונדה.</w:t>
      </w:r>
    </w:p>
    <w:p w:rsidR="00272CAC" w:rsidRPr="00187E01" w:rsidRDefault="00272CAC" w:rsidP="00272CAC">
      <w:pPr>
        <w:pStyle w:val="ac"/>
        <w:spacing w:after="0" w:line="360" w:lineRule="auto"/>
        <w:ind w:left="0"/>
        <w:jc w:val="both"/>
        <w:rPr>
          <w:rFonts w:ascii="David" w:hAnsi="David" w:cs="David"/>
          <w:sz w:val="24"/>
          <w:szCs w:val="24"/>
          <w:rtl/>
        </w:rPr>
      </w:pPr>
    </w:p>
    <w:p w:rsidR="00272CAC" w:rsidRPr="001F52EB" w:rsidRDefault="00272CAC" w:rsidP="00272CAC">
      <w:pPr>
        <w:spacing w:line="360" w:lineRule="auto"/>
        <w:ind w:firstLine="720"/>
        <w:jc w:val="both"/>
        <w:rPr>
          <w:rFonts w:ascii="David" w:hAnsi="David"/>
          <w:u w:val="single"/>
          <w:rtl/>
        </w:rPr>
      </w:pPr>
      <w:r w:rsidRPr="001F52EB">
        <w:rPr>
          <w:rFonts w:ascii="David" w:hAnsi="David" w:hint="cs"/>
          <w:u w:val="single"/>
          <w:rtl/>
        </w:rPr>
        <w:t>אירועי אלימות:</w:t>
      </w:r>
    </w:p>
    <w:p w:rsidR="00272CAC" w:rsidRPr="001F52EB" w:rsidRDefault="00272CAC" w:rsidP="00272CAC">
      <w:pPr>
        <w:spacing w:line="360" w:lineRule="auto"/>
        <w:ind w:left="720" w:hanging="360"/>
        <w:jc w:val="both"/>
        <w:rPr>
          <w:rFonts w:ascii="David" w:hAnsi="David"/>
          <w:rtl/>
        </w:rPr>
      </w:pPr>
      <w:r w:rsidRPr="001F52EB">
        <w:rPr>
          <w:rFonts w:ascii="David" w:hAnsi="David" w:hint="cs"/>
          <w:rtl/>
        </w:rPr>
        <w:t>(-)</w:t>
      </w:r>
      <w:r w:rsidRPr="001F52EB">
        <w:rPr>
          <w:rFonts w:ascii="David" w:hAnsi="David"/>
          <w:rtl/>
        </w:rPr>
        <w:tab/>
        <w:t>בשעות הלילה בעת ש</w:t>
      </w:r>
      <w:r w:rsidRPr="001F52EB">
        <w:rPr>
          <w:rFonts w:ascii="David" w:hAnsi="David" w:hint="cs"/>
          <w:rtl/>
        </w:rPr>
        <w:t xml:space="preserve">חברו ליחידה </w:t>
      </w:r>
      <w:r w:rsidRPr="007B1468">
        <w:rPr>
          <w:rFonts w:ascii="David" w:hAnsi="David"/>
          <w:b/>
          <w:bCs/>
          <w:rtl/>
        </w:rPr>
        <w:t>השוטר א</w:t>
      </w:r>
      <w:r w:rsidRPr="007B1468">
        <w:rPr>
          <w:rFonts w:ascii="David" w:hAnsi="David" w:hint="cs"/>
          <w:b/>
          <w:bCs/>
          <w:rtl/>
        </w:rPr>
        <w:t>'</w:t>
      </w:r>
      <w:r w:rsidRPr="001F52EB">
        <w:rPr>
          <w:rFonts w:ascii="David" w:hAnsi="David" w:hint="cs"/>
          <w:rtl/>
        </w:rPr>
        <w:t xml:space="preserve"> </w:t>
      </w:r>
      <w:r w:rsidRPr="001F52EB">
        <w:rPr>
          <w:rFonts w:ascii="David" w:hAnsi="David"/>
          <w:rtl/>
        </w:rPr>
        <w:t xml:space="preserve">שכב במיטתו, נכנס הנאשם  לחדר, </w:t>
      </w:r>
      <w:r w:rsidRPr="001F52EB">
        <w:rPr>
          <w:rFonts w:ascii="David" w:hAnsi="David"/>
          <w:u w:val="single"/>
          <w:rtl/>
        </w:rPr>
        <w:t>הפשיל מכנסיו ותחתוניו והתיישב על פניו של א</w:t>
      </w:r>
      <w:r w:rsidRPr="001F52EB">
        <w:rPr>
          <w:rFonts w:ascii="David" w:hAnsi="David" w:hint="cs"/>
          <w:u w:val="single"/>
          <w:rtl/>
        </w:rPr>
        <w:t>'</w:t>
      </w:r>
      <w:r w:rsidRPr="001F52EB">
        <w:rPr>
          <w:rFonts w:ascii="David" w:hAnsi="David"/>
          <w:u w:val="single"/>
          <w:rtl/>
        </w:rPr>
        <w:t>,  תוך שעכוזו של הנאשם נוגע בפניו של א</w:t>
      </w:r>
      <w:r w:rsidRPr="001F52EB">
        <w:rPr>
          <w:rFonts w:ascii="David" w:hAnsi="David" w:hint="cs"/>
          <w:u w:val="single"/>
          <w:rtl/>
        </w:rPr>
        <w:t>'</w:t>
      </w:r>
      <w:r w:rsidRPr="001F52EB">
        <w:rPr>
          <w:rFonts w:ascii="David" w:hAnsi="David" w:hint="cs"/>
          <w:rtl/>
        </w:rPr>
        <w:t>.</w:t>
      </w:r>
    </w:p>
    <w:p w:rsidR="00272CAC" w:rsidRDefault="00272CAC" w:rsidP="00272CAC">
      <w:pPr>
        <w:pStyle w:val="ac"/>
        <w:spacing w:after="0" w:line="360" w:lineRule="auto"/>
        <w:ind w:hanging="72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בעת שא</w:t>
      </w:r>
      <w:r>
        <w:rPr>
          <w:rFonts w:ascii="David" w:hAnsi="David" w:cs="David" w:hint="cs"/>
          <w:sz w:val="24"/>
          <w:szCs w:val="24"/>
          <w:rtl/>
        </w:rPr>
        <w:t xml:space="preserve">' לעיל </w:t>
      </w:r>
      <w:r w:rsidRPr="00CC40FD">
        <w:rPr>
          <w:rFonts w:ascii="David" w:hAnsi="David" w:cs="David"/>
          <w:sz w:val="24"/>
          <w:szCs w:val="24"/>
          <w:rtl/>
        </w:rPr>
        <w:t xml:space="preserve">שכב במיטתו, נכנס הנאשם לחדר, </w:t>
      </w:r>
      <w:r w:rsidRPr="00187E01">
        <w:rPr>
          <w:rFonts w:ascii="David" w:hAnsi="David" w:cs="David"/>
          <w:sz w:val="24"/>
          <w:szCs w:val="24"/>
          <w:u w:val="single"/>
          <w:rtl/>
        </w:rPr>
        <w:t xml:space="preserve">התיישב על חזהו של </w:t>
      </w:r>
      <w:r w:rsidRPr="007B1468">
        <w:rPr>
          <w:rFonts w:ascii="David" w:hAnsi="David" w:cs="David" w:hint="cs"/>
          <w:b/>
          <w:bCs/>
          <w:sz w:val="24"/>
          <w:szCs w:val="24"/>
          <w:u w:val="single"/>
          <w:rtl/>
        </w:rPr>
        <w:t xml:space="preserve">השוטר </w:t>
      </w:r>
      <w:r w:rsidRPr="007B1468">
        <w:rPr>
          <w:rFonts w:ascii="David" w:hAnsi="David" w:cs="David"/>
          <w:b/>
          <w:bCs/>
          <w:sz w:val="24"/>
          <w:szCs w:val="24"/>
          <w:u w:val="single"/>
          <w:rtl/>
        </w:rPr>
        <w:t>א</w:t>
      </w:r>
      <w:r w:rsidRPr="007B1468">
        <w:rPr>
          <w:rFonts w:ascii="David" w:hAnsi="David" w:cs="David" w:hint="cs"/>
          <w:b/>
          <w:bCs/>
          <w:sz w:val="24"/>
          <w:szCs w:val="24"/>
          <w:u w:val="single"/>
          <w:rtl/>
        </w:rPr>
        <w:t>'</w:t>
      </w:r>
      <w:r>
        <w:rPr>
          <w:rFonts w:ascii="David" w:hAnsi="David" w:cs="David" w:hint="cs"/>
          <w:sz w:val="24"/>
          <w:szCs w:val="24"/>
          <w:rtl/>
        </w:rPr>
        <w:t>,</w:t>
      </w:r>
      <w:r w:rsidRPr="00CC40FD">
        <w:rPr>
          <w:rFonts w:ascii="David" w:hAnsi="David" w:cs="David"/>
          <w:sz w:val="24"/>
          <w:szCs w:val="24"/>
          <w:rtl/>
        </w:rPr>
        <w:t xml:space="preserve"> ריתקו למיטה באמצעות כובד משקל רגליו על ידיו של א</w:t>
      </w:r>
      <w:r>
        <w:rPr>
          <w:rFonts w:ascii="David" w:hAnsi="David" w:cs="David" w:hint="cs"/>
          <w:sz w:val="24"/>
          <w:szCs w:val="24"/>
          <w:rtl/>
        </w:rPr>
        <w:t>'</w:t>
      </w:r>
      <w:r w:rsidRPr="00CC40FD">
        <w:rPr>
          <w:rFonts w:ascii="David" w:hAnsi="David" w:cs="David"/>
          <w:sz w:val="24"/>
          <w:szCs w:val="24"/>
          <w:rtl/>
        </w:rPr>
        <w:t xml:space="preserve"> ותקף אותו תוך שהוא מבזה ומשפיל אותו. </w:t>
      </w:r>
    </w:p>
    <w:p w:rsidR="00272CAC" w:rsidRPr="00187E01" w:rsidRDefault="00272CAC" w:rsidP="00272CAC">
      <w:pPr>
        <w:pStyle w:val="ac"/>
        <w:spacing w:after="0" w:line="360" w:lineRule="auto"/>
        <w:ind w:left="0"/>
        <w:jc w:val="both"/>
        <w:rPr>
          <w:rFonts w:ascii="David" w:hAnsi="David" w:cs="David"/>
          <w:sz w:val="24"/>
          <w:szCs w:val="24"/>
          <w:rtl/>
        </w:rPr>
      </w:pPr>
    </w:p>
    <w:p w:rsidR="00272CAC" w:rsidRDefault="00272CAC" w:rsidP="00272CAC">
      <w:pPr>
        <w:pStyle w:val="ac"/>
        <w:spacing w:after="0" w:line="360" w:lineRule="auto"/>
        <w:ind w:hanging="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בהיותם ברכב המשטרתי, תפס הנאשם בחולצתו של </w:t>
      </w:r>
      <w:r w:rsidRPr="007B1468">
        <w:rPr>
          <w:rFonts w:ascii="David" w:hAnsi="David" w:cs="David" w:hint="cs"/>
          <w:b/>
          <w:bCs/>
          <w:sz w:val="24"/>
          <w:szCs w:val="24"/>
          <w:rtl/>
        </w:rPr>
        <w:t xml:space="preserve">השוטר </w:t>
      </w:r>
      <w:r w:rsidRPr="007B1468">
        <w:rPr>
          <w:rFonts w:ascii="David" w:hAnsi="David" w:cs="David"/>
          <w:b/>
          <w:bCs/>
          <w:sz w:val="24"/>
          <w:szCs w:val="24"/>
          <w:rtl/>
        </w:rPr>
        <w:t>א</w:t>
      </w:r>
      <w:r w:rsidRPr="007B1468">
        <w:rPr>
          <w:rFonts w:ascii="David" w:hAnsi="David" w:cs="David" w:hint="cs"/>
          <w:b/>
          <w:bCs/>
          <w:sz w:val="24"/>
          <w:szCs w:val="24"/>
          <w:rtl/>
        </w:rPr>
        <w:t>'</w:t>
      </w:r>
      <w:r>
        <w:rPr>
          <w:rFonts w:ascii="David" w:hAnsi="David" w:cs="David" w:hint="cs"/>
          <w:sz w:val="24"/>
          <w:szCs w:val="24"/>
          <w:rtl/>
        </w:rPr>
        <w:t xml:space="preserve"> לעיל</w:t>
      </w:r>
      <w:r w:rsidRPr="00CC40FD">
        <w:rPr>
          <w:rFonts w:ascii="David" w:hAnsi="David" w:cs="David"/>
          <w:sz w:val="24"/>
          <w:szCs w:val="24"/>
          <w:rtl/>
        </w:rPr>
        <w:t xml:space="preserve"> </w:t>
      </w:r>
      <w:r w:rsidRPr="00187E01">
        <w:rPr>
          <w:rFonts w:ascii="David" w:hAnsi="David" w:cs="David"/>
          <w:sz w:val="24"/>
          <w:szCs w:val="24"/>
          <w:u w:val="single"/>
          <w:rtl/>
        </w:rPr>
        <w:t>ונגח בעוצמה בפניו באזור האף</w:t>
      </w:r>
      <w:r w:rsidRPr="00CC40FD">
        <w:rPr>
          <w:rFonts w:ascii="David" w:hAnsi="David" w:cs="David"/>
          <w:sz w:val="24"/>
          <w:szCs w:val="24"/>
          <w:rtl/>
        </w:rPr>
        <w:t>. הנאשם המשיך  ותקף את א</w:t>
      </w:r>
      <w:r>
        <w:rPr>
          <w:rFonts w:ascii="David" w:hAnsi="David" w:cs="David" w:hint="cs"/>
          <w:sz w:val="24"/>
          <w:szCs w:val="24"/>
          <w:rtl/>
        </w:rPr>
        <w:t>'</w:t>
      </w:r>
      <w:r w:rsidRPr="00CC40FD">
        <w:rPr>
          <w:rFonts w:ascii="David" w:hAnsi="David" w:cs="David"/>
          <w:sz w:val="24"/>
          <w:szCs w:val="24"/>
          <w:rtl/>
        </w:rPr>
        <w:t xml:space="preserve"> </w:t>
      </w:r>
      <w:r w:rsidRPr="00187E01">
        <w:rPr>
          <w:rFonts w:ascii="David" w:hAnsi="David" w:cs="David"/>
          <w:sz w:val="24"/>
          <w:szCs w:val="24"/>
          <w:u w:val="single"/>
          <w:rtl/>
        </w:rPr>
        <w:t>באמצעות מספר רב של אגרופים לעבר פניו</w:t>
      </w:r>
      <w:r w:rsidRPr="00531D97">
        <w:rPr>
          <w:rFonts w:ascii="David" w:hAnsi="David" w:cs="David"/>
          <w:sz w:val="24"/>
          <w:szCs w:val="24"/>
          <w:rtl/>
        </w:rPr>
        <w:t xml:space="preserve"> </w:t>
      </w:r>
      <w:r w:rsidRPr="00CC40FD">
        <w:rPr>
          <w:rFonts w:ascii="David" w:hAnsi="David" w:cs="David"/>
          <w:sz w:val="24"/>
          <w:szCs w:val="24"/>
          <w:rtl/>
        </w:rPr>
        <w:t>ופגע בידיו של א</w:t>
      </w:r>
      <w:r>
        <w:rPr>
          <w:rFonts w:ascii="David" w:hAnsi="David" w:cs="David" w:hint="cs"/>
          <w:sz w:val="24"/>
          <w:szCs w:val="24"/>
          <w:rtl/>
        </w:rPr>
        <w:t>'</w:t>
      </w:r>
      <w:r w:rsidRPr="00CC40FD">
        <w:rPr>
          <w:rFonts w:ascii="David" w:hAnsi="David" w:cs="David"/>
          <w:sz w:val="24"/>
          <w:szCs w:val="24"/>
          <w:rtl/>
        </w:rPr>
        <w:t xml:space="preserve"> אשר גונן על פניו. הנאשם לא חדל מהתקיפה עד אשר שוטר אחר הצליח להרחיקו ולהרגיעו. </w:t>
      </w:r>
    </w:p>
    <w:p w:rsidR="00272CAC" w:rsidRDefault="00272CAC" w:rsidP="00272CAC">
      <w:pPr>
        <w:pStyle w:val="ac"/>
        <w:spacing w:after="0" w:line="360" w:lineRule="auto"/>
        <w:ind w:hanging="720"/>
        <w:jc w:val="both"/>
        <w:rPr>
          <w:rFonts w:ascii="David" w:hAnsi="David" w:cs="David"/>
          <w:sz w:val="24"/>
          <w:szCs w:val="24"/>
          <w:rtl/>
        </w:rPr>
      </w:pPr>
    </w:p>
    <w:p w:rsidR="00272CAC" w:rsidRPr="00CC40FD" w:rsidRDefault="00272CAC" w:rsidP="00272CAC">
      <w:pPr>
        <w:pStyle w:val="ac"/>
        <w:spacing w:after="0" w:line="360" w:lineRule="auto"/>
        <w:ind w:hanging="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CC40FD">
        <w:rPr>
          <w:rFonts w:ascii="David" w:hAnsi="David" w:cs="David"/>
          <w:sz w:val="24"/>
          <w:szCs w:val="24"/>
          <w:rtl/>
        </w:rPr>
        <w:t xml:space="preserve">על רקע ויכוח קודם נכנס הנאשם אל חדרו של </w:t>
      </w:r>
      <w:r>
        <w:rPr>
          <w:rFonts w:ascii="David" w:hAnsi="David" w:cs="David" w:hint="cs"/>
          <w:sz w:val="24"/>
          <w:szCs w:val="24"/>
          <w:rtl/>
        </w:rPr>
        <w:t xml:space="preserve">חברו ליחידה </w:t>
      </w:r>
      <w:r w:rsidRPr="007B1468">
        <w:rPr>
          <w:rFonts w:ascii="David" w:hAnsi="David" w:cs="David" w:hint="cs"/>
          <w:b/>
          <w:bCs/>
          <w:sz w:val="24"/>
          <w:szCs w:val="24"/>
          <w:rtl/>
        </w:rPr>
        <w:t xml:space="preserve">השוטר </w:t>
      </w:r>
      <w:r w:rsidRPr="007B1468">
        <w:rPr>
          <w:rFonts w:ascii="David" w:hAnsi="David" w:cs="David"/>
          <w:b/>
          <w:bCs/>
          <w:sz w:val="24"/>
          <w:szCs w:val="24"/>
          <w:rtl/>
        </w:rPr>
        <w:t>סוועאד</w:t>
      </w:r>
      <w:r w:rsidRPr="00CC40FD">
        <w:rPr>
          <w:rFonts w:ascii="David" w:hAnsi="David" w:cs="David"/>
          <w:sz w:val="24"/>
          <w:szCs w:val="24"/>
          <w:rtl/>
        </w:rPr>
        <w:t xml:space="preserve"> שישן אותה עת, ניגש אל מיטתו </w:t>
      </w:r>
      <w:r w:rsidRPr="00187E01">
        <w:rPr>
          <w:rFonts w:ascii="David" w:hAnsi="David" w:cs="David"/>
          <w:sz w:val="24"/>
          <w:szCs w:val="24"/>
          <w:u w:val="single"/>
          <w:rtl/>
        </w:rPr>
        <w:t>וחנק אותו תוך שהוא לוחץ בחוזקה באמצעות שתי ידיו על צווארו</w:t>
      </w:r>
      <w:r w:rsidRPr="00CC40FD">
        <w:rPr>
          <w:rFonts w:ascii="David" w:hAnsi="David" w:cs="David"/>
          <w:sz w:val="24"/>
          <w:szCs w:val="24"/>
          <w:rtl/>
        </w:rPr>
        <w:t xml:space="preserve">. כתוצאה מהחניקה התעורר סוועאד בבהלה. שוטר אחר ששהה בחדר הרחיק את הנאשם מסוועאד. </w:t>
      </w:r>
    </w:p>
    <w:p w:rsidR="00272CAC" w:rsidRDefault="00272CAC" w:rsidP="00272CAC">
      <w:pPr>
        <w:pStyle w:val="ac"/>
        <w:spacing w:after="0" w:line="360" w:lineRule="auto"/>
        <w:ind w:left="0"/>
        <w:jc w:val="both"/>
        <w:rPr>
          <w:rFonts w:ascii="David" w:hAnsi="David" w:cs="David"/>
          <w:sz w:val="24"/>
          <w:szCs w:val="24"/>
          <w:rtl/>
        </w:rPr>
      </w:pPr>
    </w:p>
    <w:p w:rsidR="00272CAC" w:rsidRPr="00CC40FD" w:rsidRDefault="00272CAC" w:rsidP="00272CAC">
      <w:pPr>
        <w:pStyle w:val="ac"/>
        <w:spacing w:after="0" w:line="360" w:lineRule="auto"/>
        <w:ind w:left="0" w:firstLine="360"/>
        <w:jc w:val="both"/>
        <w:rPr>
          <w:rFonts w:ascii="David" w:hAnsi="David" w:cs="David"/>
          <w:sz w:val="24"/>
          <w:szCs w:val="24"/>
        </w:rPr>
      </w:pPr>
      <w:r>
        <w:rPr>
          <w:rFonts w:ascii="David" w:hAnsi="David" w:cs="David" w:hint="cs"/>
          <w:sz w:val="24"/>
          <w:szCs w:val="24"/>
          <w:rtl/>
        </w:rPr>
        <w:t>על בסיס המעשים לעיל, יוחסו לנאשם העבירות הבאות:</w:t>
      </w:r>
    </w:p>
    <w:p w:rsidR="00272CAC" w:rsidRPr="00CC40FD" w:rsidRDefault="00272CAC" w:rsidP="00272CAC">
      <w:pPr>
        <w:pStyle w:val="ac"/>
        <w:spacing w:after="0" w:line="360" w:lineRule="auto"/>
        <w:ind w:left="0" w:firstLine="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 </w:t>
      </w:r>
      <w:r w:rsidRPr="00567A4E">
        <w:rPr>
          <w:rFonts w:ascii="David" w:hAnsi="David" w:cs="David"/>
          <w:b/>
          <w:bCs/>
          <w:sz w:val="24"/>
          <w:szCs w:val="24"/>
          <w:rtl/>
        </w:rPr>
        <w:t>איומים</w:t>
      </w:r>
      <w:r w:rsidRPr="00CC40FD">
        <w:rPr>
          <w:rFonts w:ascii="David" w:hAnsi="David" w:cs="David"/>
          <w:sz w:val="24"/>
          <w:szCs w:val="24"/>
          <w:rtl/>
        </w:rPr>
        <w:t xml:space="preserve"> (ריבוי </w:t>
      </w:r>
      <w:r>
        <w:rPr>
          <w:rFonts w:ascii="David" w:hAnsi="David" w:cs="David" w:hint="cs"/>
          <w:sz w:val="24"/>
          <w:szCs w:val="24"/>
          <w:rtl/>
        </w:rPr>
        <w:t>מקרים</w:t>
      </w:r>
      <w:r w:rsidRPr="00CC40FD">
        <w:rPr>
          <w:rFonts w:ascii="David" w:hAnsi="David" w:cs="David"/>
          <w:sz w:val="24"/>
          <w:szCs w:val="24"/>
          <w:rtl/>
        </w:rPr>
        <w:t xml:space="preserve">) – לפי סעיף 192 לחוק. </w:t>
      </w:r>
    </w:p>
    <w:p w:rsidR="00272CAC" w:rsidRPr="00CC40FD" w:rsidRDefault="00272CAC" w:rsidP="00272CAC">
      <w:pPr>
        <w:pStyle w:val="ac"/>
        <w:spacing w:after="0" w:line="360" w:lineRule="auto"/>
        <w:ind w:left="0" w:firstLine="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567A4E">
        <w:rPr>
          <w:rFonts w:ascii="David" w:hAnsi="David" w:cs="David"/>
          <w:b/>
          <w:bCs/>
          <w:sz w:val="24"/>
          <w:szCs w:val="24"/>
          <w:rtl/>
        </w:rPr>
        <w:t>מעשה פזיזות ורשלנות</w:t>
      </w:r>
      <w:r w:rsidRPr="00CC40FD">
        <w:rPr>
          <w:rFonts w:ascii="David" w:hAnsi="David" w:cs="David"/>
          <w:sz w:val="24"/>
          <w:szCs w:val="24"/>
          <w:rtl/>
        </w:rPr>
        <w:t xml:space="preserve"> (ריבוי </w:t>
      </w:r>
      <w:r>
        <w:rPr>
          <w:rFonts w:ascii="David" w:hAnsi="David" w:cs="David" w:hint="cs"/>
          <w:sz w:val="24"/>
          <w:szCs w:val="24"/>
          <w:rtl/>
        </w:rPr>
        <w:t>מקרים</w:t>
      </w:r>
      <w:r w:rsidRPr="00CC40FD">
        <w:rPr>
          <w:rFonts w:ascii="David" w:hAnsi="David" w:cs="David"/>
          <w:sz w:val="24"/>
          <w:szCs w:val="24"/>
          <w:rtl/>
        </w:rPr>
        <w:t xml:space="preserve">) – לפי סעיף 338(א)(5) לחוק. </w:t>
      </w:r>
    </w:p>
    <w:p w:rsidR="00272CAC" w:rsidRPr="00CC40FD" w:rsidRDefault="00272CAC" w:rsidP="00272CAC">
      <w:pPr>
        <w:pStyle w:val="ac"/>
        <w:spacing w:after="0" w:line="360" w:lineRule="auto"/>
        <w:ind w:left="0" w:firstLine="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567A4E">
        <w:rPr>
          <w:rFonts w:ascii="David" w:hAnsi="David" w:cs="David"/>
          <w:b/>
          <w:bCs/>
          <w:sz w:val="24"/>
          <w:szCs w:val="24"/>
          <w:rtl/>
        </w:rPr>
        <w:t>תקיפה סתם</w:t>
      </w:r>
      <w:r w:rsidRPr="00CC40FD">
        <w:rPr>
          <w:rFonts w:ascii="David" w:hAnsi="David" w:cs="David"/>
          <w:sz w:val="24"/>
          <w:szCs w:val="24"/>
          <w:rtl/>
        </w:rPr>
        <w:t xml:space="preserve"> (ריבוי </w:t>
      </w:r>
      <w:r>
        <w:rPr>
          <w:rFonts w:ascii="David" w:hAnsi="David" w:cs="David" w:hint="cs"/>
          <w:sz w:val="24"/>
          <w:szCs w:val="24"/>
          <w:rtl/>
        </w:rPr>
        <w:t>מקרים</w:t>
      </w:r>
      <w:r w:rsidRPr="00CC40FD">
        <w:rPr>
          <w:rFonts w:ascii="David" w:hAnsi="David" w:cs="David"/>
          <w:sz w:val="24"/>
          <w:szCs w:val="24"/>
          <w:rtl/>
        </w:rPr>
        <w:t xml:space="preserve">) – לפי סעיף 379 לחוק. </w:t>
      </w:r>
    </w:p>
    <w:p w:rsidR="00272CAC" w:rsidRPr="007B1468" w:rsidRDefault="00272CAC" w:rsidP="00272CAC">
      <w:pPr>
        <w:pStyle w:val="ac"/>
        <w:spacing w:after="0" w:line="360" w:lineRule="auto"/>
        <w:ind w:left="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b/>
          <w:bCs/>
          <w:sz w:val="24"/>
          <w:szCs w:val="24"/>
          <w:u w:val="single"/>
        </w:rPr>
      </w:pPr>
      <w:r>
        <w:rPr>
          <w:rFonts w:ascii="David" w:hAnsi="David" w:cs="David" w:hint="cs"/>
          <w:b/>
          <w:bCs/>
          <w:sz w:val="24"/>
          <w:szCs w:val="24"/>
          <w:u w:val="single"/>
          <w:rtl/>
        </w:rPr>
        <w:t xml:space="preserve">תשובת הנאשם לכתב האישום; </w:t>
      </w:r>
      <w:r w:rsidRPr="00B62955">
        <w:rPr>
          <w:rFonts w:ascii="David" w:hAnsi="David" w:cs="David" w:hint="cs"/>
          <w:b/>
          <w:bCs/>
          <w:sz w:val="24"/>
          <w:szCs w:val="24"/>
          <w:u w:val="single"/>
          <w:rtl/>
        </w:rPr>
        <w:t>יריעת המחלוקת</w:t>
      </w:r>
      <w:r>
        <w:rPr>
          <w:rFonts w:ascii="David" w:hAnsi="David" w:cs="David" w:hint="cs"/>
          <w:b/>
          <w:bCs/>
          <w:sz w:val="24"/>
          <w:szCs w:val="24"/>
          <w:u w:val="single"/>
          <w:rtl/>
        </w:rPr>
        <w:t>;</w:t>
      </w:r>
      <w:r w:rsidRPr="00B62955">
        <w:rPr>
          <w:rFonts w:ascii="David" w:hAnsi="David" w:cs="David" w:hint="cs"/>
          <w:b/>
          <w:bCs/>
          <w:sz w:val="24"/>
          <w:szCs w:val="24"/>
          <w:u w:val="single"/>
          <w:rtl/>
        </w:rPr>
        <w:t xml:space="preserve"> ועיקר טענות הצדדים</w:t>
      </w:r>
    </w:p>
    <w:p w:rsidR="00272CAC" w:rsidRPr="001F52EB" w:rsidRDefault="00272CAC" w:rsidP="00272CAC">
      <w:pPr>
        <w:pStyle w:val="ac"/>
        <w:numPr>
          <w:ilvl w:val="0"/>
          <w:numId w:val="14"/>
        </w:numPr>
        <w:spacing w:after="0" w:line="360" w:lineRule="auto"/>
        <w:jc w:val="both"/>
        <w:rPr>
          <w:rFonts w:ascii="David" w:hAnsi="David" w:cs="David"/>
          <w:sz w:val="24"/>
          <w:szCs w:val="24"/>
          <w:rtl/>
        </w:rPr>
      </w:pPr>
      <w:r w:rsidRPr="001F52EB">
        <w:rPr>
          <w:rFonts w:ascii="David" w:hAnsi="David" w:cs="David" w:hint="cs"/>
          <w:sz w:val="24"/>
          <w:szCs w:val="24"/>
          <w:rtl/>
        </w:rPr>
        <w:t xml:space="preserve">יריעת המחלוקת עברה שינויים לא מבוטלים במהלך ניהול ההליך. </w:t>
      </w:r>
    </w:p>
    <w:p w:rsidR="00272CAC" w:rsidRDefault="00272CAC" w:rsidP="00272CAC">
      <w:pPr>
        <w:spacing w:line="360" w:lineRule="auto"/>
        <w:jc w:val="both"/>
        <w:rPr>
          <w:rFonts w:ascii="David" w:hAnsi="David"/>
          <w:rtl/>
        </w:rPr>
      </w:pPr>
    </w:p>
    <w:p w:rsidR="00272CAC" w:rsidRDefault="00272CAC" w:rsidP="00272CAC">
      <w:pPr>
        <w:spacing w:line="360" w:lineRule="auto"/>
        <w:ind w:left="720" w:hanging="360"/>
        <w:jc w:val="both"/>
        <w:rPr>
          <w:rFonts w:ascii="David" w:hAnsi="David"/>
          <w:rtl/>
        </w:rPr>
      </w:pPr>
      <w:r>
        <w:rPr>
          <w:rFonts w:ascii="David" w:hAnsi="David" w:hint="cs"/>
          <w:rtl/>
        </w:rPr>
        <w:t>(-)</w:t>
      </w:r>
      <w:r>
        <w:rPr>
          <w:rFonts w:ascii="David" w:hAnsi="David"/>
          <w:rtl/>
        </w:rPr>
        <w:tab/>
      </w:r>
      <w:r>
        <w:rPr>
          <w:rFonts w:ascii="David" w:hAnsi="David" w:hint="cs"/>
          <w:rtl/>
        </w:rPr>
        <w:t xml:space="preserve">בתשובתו לכתב האישום שניתנה ביום 7.11.21, </w:t>
      </w:r>
      <w:r w:rsidRPr="00695C67">
        <w:rPr>
          <w:rFonts w:ascii="David" w:hAnsi="David" w:hint="cs"/>
          <w:u w:val="single"/>
          <w:rtl/>
        </w:rPr>
        <w:t>כפר הנאשם בכך שהיה בחדר המגורים שלו ושל המנוח בעת שהאחרון נורה</w:t>
      </w:r>
      <w:r>
        <w:rPr>
          <w:rFonts w:ascii="David" w:hAnsi="David" w:hint="cs"/>
          <w:rtl/>
        </w:rPr>
        <w:t xml:space="preserve"> (ר' פרוטוקול הדיון מאותו מועד). הנאשם הוסיף וטען כי בזמן הירי, הוא (הנאשם) שהה  בשירותים. </w:t>
      </w:r>
      <w:r w:rsidRPr="00D25BB2">
        <w:rPr>
          <w:rFonts w:ascii="David" w:hAnsi="David" w:hint="cs"/>
          <w:u w:val="single"/>
          <w:rtl/>
        </w:rPr>
        <w:t>המשמעות שנגזרה מטענה זו</w:t>
      </w:r>
      <w:r w:rsidRPr="007B1468">
        <w:rPr>
          <w:rFonts w:ascii="David" w:hAnsi="David" w:hint="cs"/>
          <w:rtl/>
        </w:rPr>
        <w:t>,</w:t>
      </w:r>
      <w:r>
        <w:rPr>
          <w:rFonts w:ascii="David" w:hAnsi="David" w:hint="cs"/>
          <w:rtl/>
        </w:rPr>
        <w:t xml:space="preserve"> בשים לב למכלול הראיות ובמיוחד לכך שאין כל טענה או חשד שאדם אחר נכח בחדר אותה עת, </w:t>
      </w:r>
      <w:r w:rsidRPr="00D25BB2">
        <w:rPr>
          <w:rFonts w:ascii="David" w:hAnsi="David" w:hint="cs"/>
          <w:u w:val="single"/>
          <w:rtl/>
        </w:rPr>
        <w:t>היתה שהמנוח התאבד</w:t>
      </w:r>
      <w:r>
        <w:rPr>
          <w:rFonts w:ascii="David" w:hAnsi="David" w:hint="cs"/>
          <w:rtl/>
        </w:rPr>
        <w:t xml:space="preserve">. תשובה זו של הנאשם נסמכה על גרסתו, כפי שבאה לידי ביטוי בדברים שמסר </w:t>
      </w:r>
      <w:r w:rsidRPr="0043167C">
        <w:rPr>
          <w:rFonts w:ascii="David" w:hAnsi="David" w:hint="cs"/>
          <w:rtl/>
        </w:rPr>
        <w:t>ל</w:t>
      </w:r>
      <w:r>
        <w:rPr>
          <w:rFonts w:ascii="David" w:hAnsi="David" w:hint="cs"/>
          <w:rtl/>
        </w:rPr>
        <w:t>חבריו ליחידה מיד לאחר האירוע וכן על הגרסה אותה מסר ל</w:t>
      </w:r>
      <w:r w:rsidRPr="0043167C">
        <w:rPr>
          <w:rFonts w:ascii="David" w:hAnsi="David" w:hint="cs"/>
          <w:rtl/>
        </w:rPr>
        <w:t>חוקריו</w:t>
      </w:r>
      <w:r>
        <w:rPr>
          <w:rFonts w:ascii="David" w:hAnsi="David" w:hint="cs"/>
          <w:rtl/>
        </w:rPr>
        <w:t xml:space="preserve"> לאורך כל חקירותיו </w:t>
      </w:r>
      <w:r>
        <w:rPr>
          <w:rFonts w:ascii="David" w:hAnsi="David" w:hint="cs"/>
          <w:rtl/>
        </w:rPr>
        <w:lastRenderedPageBreak/>
        <w:t>עובר להגשת כתב האישום (חריג לכך הוא הודאת הנאשם בפני המדובב, אליה אתייחס בנפרד להלן). הנאשם אף הכחיש את מעשי השיבוש שיוחסו לו באישום הראשון, וכן כפר ביתר האישומים נגדו;</w:t>
      </w:r>
    </w:p>
    <w:p w:rsidR="00272CAC" w:rsidRDefault="00272CAC" w:rsidP="00272CAC">
      <w:pPr>
        <w:spacing w:line="360" w:lineRule="auto"/>
        <w:ind w:left="720" w:hanging="720"/>
        <w:jc w:val="both"/>
        <w:rPr>
          <w:rFonts w:ascii="David" w:hAnsi="David"/>
          <w:rtl/>
        </w:rPr>
      </w:pPr>
    </w:p>
    <w:p w:rsidR="00272CAC" w:rsidRDefault="00272CAC" w:rsidP="00272CAC">
      <w:pPr>
        <w:spacing w:line="360" w:lineRule="auto"/>
        <w:ind w:left="720" w:hanging="360"/>
        <w:jc w:val="both"/>
        <w:rPr>
          <w:rFonts w:ascii="David" w:hAnsi="David"/>
          <w:rtl/>
        </w:rPr>
      </w:pPr>
      <w:r>
        <w:rPr>
          <w:rFonts w:ascii="David" w:hAnsi="David" w:hint="cs"/>
          <w:rtl/>
        </w:rPr>
        <w:t>(-)</w:t>
      </w:r>
      <w:r>
        <w:rPr>
          <w:rFonts w:ascii="David" w:hAnsi="David"/>
          <w:rtl/>
        </w:rPr>
        <w:tab/>
      </w:r>
      <w:r w:rsidRPr="00A47CAB">
        <w:rPr>
          <w:rFonts w:ascii="David" w:hAnsi="David" w:hint="cs"/>
          <w:rtl/>
        </w:rPr>
        <w:t xml:space="preserve">נוסף על כפירתו לעיל, העלה הנאשם </w:t>
      </w:r>
      <w:r w:rsidRPr="00A47CAB">
        <w:rPr>
          <w:rFonts w:ascii="David" w:hAnsi="David" w:hint="cs"/>
          <w:u w:val="single"/>
          <w:rtl/>
        </w:rPr>
        <w:t>טענות זוטא כנגד הודאה שמסר למדובב ששהה עמו בתא המעצר</w:t>
      </w:r>
      <w:r w:rsidRPr="00A47CAB">
        <w:rPr>
          <w:rFonts w:ascii="David" w:hAnsi="David" w:hint="cs"/>
          <w:rtl/>
        </w:rPr>
        <w:t xml:space="preserve"> </w:t>
      </w:r>
      <w:r w:rsidRPr="00D472EE">
        <w:rPr>
          <w:rFonts w:ascii="David" w:hAnsi="David" w:hint="cs"/>
          <w:rtl/>
        </w:rPr>
        <w:t>ביום 20.2.21 (ר' פירוט טענות הזוטא בהודעה שהוגשה ביום 8.11.21). הנאשם</w:t>
      </w:r>
      <w:r w:rsidRPr="00A47CAB">
        <w:rPr>
          <w:rFonts w:ascii="David" w:hAnsi="David" w:hint="cs"/>
          <w:rtl/>
        </w:rPr>
        <w:t xml:space="preserve"> טען כי הודאה זו אינה קבילה משום מניפולציות ולחצים בלתי הוגנים שהופעלו כלפיו על ידי</w:t>
      </w:r>
      <w:r>
        <w:rPr>
          <w:rFonts w:ascii="David" w:hAnsi="David" w:hint="cs"/>
          <w:rtl/>
        </w:rPr>
        <w:t xml:space="preserve"> חוקריו; משום ניצול מצבו הנפשי הקשה; ומשום תחבולות לא לגיטימיות שהופעלו כלפיו מצד המדובב;</w:t>
      </w:r>
    </w:p>
    <w:p w:rsidR="00272CAC" w:rsidRDefault="00272CAC" w:rsidP="00272CAC">
      <w:pPr>
        <w:spacing w:line="360" w:lineRule="auto"/>
        <w:ind w:left="720" w:hanging="720"/>
        <w:jc w:val="both"/>
        <w:rPr>
          <w:rFonts w:ascii="David" w:hAnsi="David"/>
          <w:rtl/>
        </w:rPr>
      </w:pPr>
    </w:p>
    <w:p w:rsidR="00272CAC" w:rsidRDefault="00272CAC" w:rsidP="00272CAC">
      <w:pPr>
        <w:spacing w:line="360" w:lineRule="auto"/>
        <w:ind w:left="720" w:hanging="360"/>
        <w:jc w:val="both"/>
        <w:rPr>
          <w:rFonts w:ascii="David" w:hAnsi="David"/>
          <w:rtl/>
        </w:rPr>
      </w:pPr>
      <w:r>
        <w:rPr>
          <w:rFonts w:ascii="David" w:hAnsi="David" w:hint="cs"/>
          <w:rtl/>
        </w:rPr>
        <w:t>(-)</w:t>
      </w:r>
      <w:r>
        <w:rPr>
          <w:rFonts w:ascii="David" w:hAnsi="David"/>
          <w:rtl/>
        </w:rPr>
        <w:tab/>
      </w:r>
      <w:r>
        <w:rPr>
          <w:rFonts w:ascii="David" w:hAnsi="David" w:hint="cs"/>
          <w:rtl/>
        </w:rPr>
        <w:t xml:space="preserve">לאחר שנשמעו חלק לא מבוטל מעדי המאשימה, כולל המדובב שהוזכר לעיל, בחר הנאשם לשנות את גרסתו מקצה לקצה. בדיון מיום 8.5.22 וכן בהודעה בכתב שמסר ביום 17.7.22 </w:t>
      </w:r>
      <w:r w:rsidRPr="00D25BB2">
        <w:rPr>
          <w:rFonts w:ascii="David" w:hAnsi="David" w:hint="cs"/>
          <w:u w:val="single"/>
          <w:rtl/>
        </w:rPr>
        <w:t>הוא אישר כי נכח בחדר עם המנוח בעת האירוע</w:t>
      </w:r>
      <w:r>
        <w:rPr>
          <w:rFonts w:ascii="David" w:hAnsi="David" w:hint="cs"/>
          <w:rtl/>
        </w:rPr>
        <w:t>, והוסיף כדלקמן:</w:t>
      </w:r>
    </w:p>
    <w:p w:rsidR="00272CAC" w:rsidRDefault="00272CAC" w:rsidP="00272CAC">
      <w:pPr>
        <w:spacing w:line="360" w:lineRule="auto"/>
        <w:ind w:left="720" w:hanging="720"/>
        <w:jc w:val="both"/>
        <w:rPr>
          <w:rFonts w:ascii="David" w:hAnsi="David"/>
          <w:rtl/>
        </w:rPr>
      </w:pPr>
    </w:p>
    <w:p w:rsidR="00272CAC" w:rsidRPr="001F52EB" w:rsidRDefault="00272CAC" w:rsidP="00272CAC">
      <w:pPr>
        <w:spacing w:line="360" w:lineRule="auto"/>
        <w:ind w:left="720" w:hanging="720"/>
        <w:jc w:val="both"/>
        <w:rPr>
          <w:rFonts w:ascii="David" w:hAnsi="David"/>
          <w:b/>
          <w:bCs/>
          <w:rtl/>
        </w:rPr>
      </w:pPr>
      <w:r>
        <w:rPr>
          <w:rFonts w:ascii="David" w:hAnsi="David"/>
          <w:rtl/>
        </w:rPr>
        <w:tab/>
      </w:r>
      <w:r>
        <w:rPr>
          <w:rFonts w:ascii="David" w:hAnsi="David" w:hint="cs"/>
          <w:rtl/>
        </w:rPr>
        <w:t>"</w:t>
      </w:r>
      <w:r w:rsidRPr="001F52EB">
        <w:rPr>
          <w:rFonts w:ascii="David" w:hAnsi="David" w:hint="cs"/>
          <w:b/>
          <w:bCs/>
          <w:rtl/>
        </w:rPr>
        <w:t xml:space="preserve">הנאשם יטען כי החזיק את הנשק בידו, אכן </w:t>
      </w:r>
      <w:r w:rsidRPr="001F52EB">
        <w:rPr>
          <w:rFonts w:ascii="David" w:hAnsi="David" w:hint="cs"/>
          <w:b/>
          <w:bCs/>
          <w:u w:val="single"/>
          <w:rtl/>
        </w:rPr>
        <w:t>שחרר את תפס המחסנית, ה</w:t>
      </w:r>
      <w:r>
        <w:rPr>
          <w:rFonts w:ascii="David" w:hAnsi="David" w:hint="cs"/>
          <w:b/>
          <w:bCs/>
          <w:u w:val="single"/>
          <w:rtl/>
        </w:rPr>
        <w:t>ו</w:t>
      </w:r>
      <w:r w:rsidRPr="001F52EB">
        <w:rPr>
          <w:rFonts w:ascii="David" w:hAnsi="David" w:hint="cs"/>
          <w:b/>
          <w:bCs/>
          <w:u w:val="single"/>
          <w:rtl/>
        </w:rPr>
        <w:t>ציאה מעט ממקומה, "דרך" את האקדח</w:t>
      </w:r>
      <w:r w:rsidRPr="001F52EB">
        <w:rPr>
          <w:rFonts w:ascii="David" w:hAnsi="David" w:hint="cs"/>
          <w:b/>
          <w:bCs/>
          <w:rtl/>
        </w:rPr>
        <w:t xml:space="preserve"> כאשר הוא עומד במרחק של לא פחות ממטר עשרים וחמישה ס"מ מהמנוח נעים, </w:t>
      </w:r>
      <w:r w:rsidRPr="001F52EB">
        <w:rPr>
          <w:rFonts w:ascii="David" w:hAnsi="David" w:hint="cs"/>
          <w:b/>
          <w:bCs/>
          <w:u w:val="single"/>
          <w:rtl/>
        </w:rPr>
        <w:t>ללא שכיוון</w:t>
      </w:r>
      <w:r w:rsidRPr="001F52EB">
        <w:rPr>
          <w:rFonts w:ascii="David" w:hAnsi="David" w:hint="cs"/>
          <w:b/>
          <w:bCs/>
          <w:rtl/>
        </w:rPr>
        <w:t xml:space="preserve"> את האקדח. </w:t>
      </w:r>
      <w:r w:rsidRPr="001F52EB">
        <w:rPr>
          <w:rFonts w:ascii="David" w:hAnsi="David" w:hint="cs"/>
          <w:b/>
          <w:bCs/>
          <w:u w:val="single"/>
          <w:rtl/>
        </w:rPr>
        <w:t>הנאשם שיחק עם ההדק מספר פעמים בלחיצות חוזרות רבות</w:t>
      </w:r>
      <w:r w:rsidRPr="001F52EB">
        <w:rPr>
          <w:rFonts w:ascii="David" w:hAnsi="David" w:hint="cs"/>
          <w:b/>
          <w:bCs/>
          <w:rtl/>
        </w:rPr>
        <w:t>, ולצערו הרב, וללא שציפה או חשב, או העלה על ד</w:t>
      </w:r>
      <w:r>
        <w:rPr>
          <w:rFonts w:ascii="David" w:hAnsi="David" w:hint="cs"/>
          <w:b/>
          <w:bCs/>
          <w:rtl/>
        </w:rPr>
        <w:t>ע</w:t>
      </w:r>
      <w:r w:rsidRPr="001F52EB">
        <w:rPr>
          <w:rFonts w:ascii="David" w:hAnsi="David" w:hint="cs"/>
          <w:b/>
          <w:bCs/>
          <w:rtl/>
        </w:rPr>
        <w:t xml:space="preserve">תו אפשרות זו, ועל אף הזהירות </w:t>
      </w:r>
      <w:r w:rsidRPr="001F52EB">
        <w:rPr>
          <w:rFonts w:ascii="David" w:hAnsi="David" w:hint="cs"/>
          <w:b/>
          <w:bCs/>
          <w:u w:val="single"/>
          <w:rtl/>
        </w:rPr>
        <w:t>ונקיטת הפעולות</w:t>
      </w:r>
      <w:r w:rsidRPr="001F52EB">
        <w:rPr>
          <w:rFonts w:ascii="David" w:hAnsi="David" w:hint="cs"/>
          <w:b/>
          <w:bCs/>
          <w:rtl/>
        </w:rPr>
        <w:t xml:space="preserve"> כדי למנוע כל תרחיש של פליטת כדור לפני הלחיצות על ההדק, הופתע שבכל זאת היה כדור בבית הבליעה אשר נורה ופגע במנוח. לאחר פליטת הכדור הנאשם הניח את הנשק על בטנו של המנוח וע</w:t>
      </w:r>
      <w:r>
        <w:rPr>
          <w:rFonts w:ascii="David" w:hAnsi="David" w:hint="cs"/>
          <w:b/>
          <w:bCs/>
          <w:rtl/>
        </w:rPr>
        <w:t>ז</w:t>
      </w:r>
      <w:r w:rsidRPr="001F52EB">
        <w:rPr>
          <w:rFonts w:ascii="David" w:hAnsi="David" w:hint="cs"/>
          <w:b/>
          <w:bCs/>
          <w:rtl/>
        </w:rPr>
        <w:t>ב את החדר לקרא לעזרה. הנאשם יטען כי במחסנית היו 16 כדורים".</w:t>
      </w:r>
      <w:r>
        <w:rPr>
          <w:rFonts w:ascii="David" w:hAnsi="David" w:hint="cs"/>
          <w:b/>
          <w:bCs/>
          <w:rtl/>
        </w:rPr>
        <w:t xml:space="preserve"> </w:t>
      </w:r>
      <w:r w:rsidRPr="001F52EB">
        <w:rPr>
          <w:rFonts w:ascii="David" w:hAnsi="David" w:hint="cs"/>
          <w:rtl/>
        </w:rPr>
        <w:t>(</w:t>
      </w:r>
      <w:r>
        <w:rPr>
          <w:rFonts w:ascii="David" w:hAnsi="David" w:hint="cs"/>
          <w:rtl/>
        </w:rPr>
        <w:t xml:space="preserve">מתוך ההודעה שהוגשה ביום 17.7.22; </w:t>
      </w:r>
      <w:r w:rsidRPr="007D38A0">
        <w:rPr>
          <w:rFonts w:ascii="David" w:hAnsi="David" w:hint="cs"/>
          <w:u w:val="single"/>
          <w:rtl/>
        </w:rPr>
        <w:t>ההדגשות במקור</w:t>
      </w:r>
      <w:r w:rsidRPr="001F52EB">
        <w:rPr>
          <w:rFonts w:ascii="David" w:hAnsi="David" w:hint="cs"/>
          <w:rtl/>
        </w:rPr>
        <w:t xml:space="preserve"> </w:t>
      </w:r>
      <w:r w:rsidRPr="001F52EB">
        <w:rPr>
          <w:rFonts w:ascii="David" w:hAnsi="David"/>
          <w:rtl/>
        </w:rPr>
        <w:t>–</w:t>
      </w:r>
      <w:r w:rsidRPr="001F52EB">
        <w:rPr>
          <w:rFonts w:ascii="David" w:hAnsi="David" w:hint="cs"/>
          <w:rtl/>
        </w:rPr>
        <w:t xml:space="preserve"> י.ל.)</w:t>
      </w:r>
    </w:p>
    <w:p w:rsidR="00272CAC" w:rsidRDefault="00272CAC" w:rsidP="00272CAC">
      <w:pPr>
        <w:spacing w:line="360" w:lineRule="auto"/>
        <w:ind w:left="720" w:hanging="720"/>
        <w:jc w:val="both"/>
        <w:rPr>
          <w:rFonts w:ascii="David" w:hAnsi="David"/>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יוער, כי גרסתו האחרונה לעיל של הנאשם תאמה באופן כללי את הדברים שמסר למדובב. </w:t>
      </w:r>
      <w:r w:rsidRPr="00D25BB2">
        <w:rPr>
          <w:rFonts w:ascii="David" w:hAnsi="David" w:cs="David" w:hint="cs"/>
          <w:sz w:val="24"/>
          <w:szCs w:val="24"/>
          <w:u w:val="single"/>
          <w:rtl/>
        </w:rPr>
        <w:t>בשלב מאוחר יותר</w:t>
      </w:r>
      <w:r>
        <w:rPr>
          <w:rFonts w:ascii="David" w:hAnsi="David" w:cs="David" w:hint="cs"/>
          <w:sz w:val="24"/>
          <w:szCs w:val="24"/>
          <w:u w:val="single"/>
          <w:rtl/>
        </w:rPr>
        <w:t>,</w:t>
      </w:r>
      <w:r w:rsidRPr="00D25BB2">
        <w:rPr>
          <w:rFonts w:ascii="David" w:hAnsi="David" w:cs="David" w:hint="cs"/>
          <w:sz w:val="24"/>
          <w:szCs w:val="24"/>
          <w:u w:val="single"/>
          <w:rtl/>
        </w:rPr>
        <w:t xml:space="preserve"> בפרשת ההגנה</w:t>
      </w:r>
      <w:r>
        <w:rPr>
          <w:rFonts w:ascii="David" w:hAnsi="David" w:cs="David" w:hint="cs"/>
          <w:sz w:val="24"/>
          <w:szCs w:val="24"/>
          <w:u w:val="single"/>
          <w:rtl/>
        </w:rPr>
        <w:t>,</w:t>
      </w:r>
      <w:r w:rsidRPr="00D25BB2">
        <w:rPr>
          <w:rFonts w:ascii="David" w:hAnsi="David" w:cs="David" w:hint="cs"/>
          <w:sz w:val="24"/>
          <w:szCs w:val="24"/>
          <w:u w:val="single"/>
          <w:rtl/>
        </w:rPr>
        <w:t xml:space="preserve"> חזר הנאשם על גרסתו הבסיסית לעיל</w:t>
      </w:r>
      <w:r>
        <w:rPr>
          <w:rFonts w:ascii="David" w:hAnsi="David" w:cs="David" w:hint="cs"/>
          <w:sz w:val="24"/>
          <w:szCs w:val="24"/>
          <w:rtl/>
        </w:rPr>
        <w:t xml:space="preserve">, היינו אישר כי הוא זה שירה במנוח. במסגרת עדותו הוסיף הנאשם פרטים שונים ואעמוד עליהם בהמשך.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tl/>
        </w:rPr>
      </w:pPr>
      <w:r w:rsidRPr="004E50EC">
        <w:rPr>
          <w:rFonts w:ascii="David" w:hAnsi="David" w:cs="David" w:hint="cs"/>
          <w:b/>
          <w:bCs/>
          <w:sz w:val="24"/>
          <w:szCs w:val="24"/>
          <w:rtl/>
        </w:rPr>
        <w:t>הסדר הטיעון לעיל וגרסת הנאשם כפי שהוצגה בקצרה לעיל צמצמה אם כן באופן ממשי את יריעת המחלוקת.</w:t>
      </w:r>
      <w:r w:rsidRPr="00D25BB2">
        <w:rPr>
          <w:rFonts w:ascii="David" w:hAnsi="David" w:cs="David" w:hint="cs"/>
          <w:sz w:val="24"/>
          <w:szCs w:val="24"/>
          <w:rtl/>
        </w:rPr>
        <w:t xml:space="preserve"> </w:t>
      </w:r>
      <w:r>
        <w:rPr>
          <w:rFonts w:ascii="David" w:hAnsi="David" w:cs="David" w:hint="cs"/>
          <w:sz w:val="24"/>
          <w:szCs w:val="24"/>
          <w:rtl/>
        </w:rPr>
        <w:t xml:space="preserve">עם זאת, </w:t>
      </w:r>
      <w:r w:rsidRPr="00D25BB2">
        <w:rPr>
          <w:rFonts w:ascii="David" w:hAnsi="David" w:cs="David" w:hint="cs"/>
          <w:sz w:val="24"/>
          <w:szCs w:val="24"/>
          <w:rtl/>
        </w:rPr>
        <w:t xml:space="preserve">תשומת </w:t>
      </w:r>
      <w:r>
        <w:rPr>
          <w:rFonts w:ascii="David" w:hAnsi="David" w:cs="David" w:hint="cs"/>
          <w:sz w:val="24"/>
          <w:szCs w:val="24"/>
          <w:rtl/>
        </w:rPr>
        <w:t>ה</w:t>
      </w:r>
      <w:r w:rsidRPr="00D25BB2">
        <w:rPr>
          <w:rFonts w:ascii="David" w:hAnsi="David" w:cs="David" w:hint="cs"/>
          <w:sz w:val="24"/>
          <w:szCs w:val="24"/>
          <w:rtl/>
        </w:rPr>
        <w:t>לב לכך שבמועדים בהם המאשימה העידה את מרבית עדיה, קו ההגנה בו אחז הנאשם היה כי כלל לא היה בחדר בו נורה המנוח</w:t>
      </w:r>
      <w:r>
        <w:rPr>
          <w:rFonts w:ascii="David" w:hAnsi="David" w:cs="David" w:hint="cs"/>
          <w:sz w:val="24"/>
          <w:szCs w:val="24"/>
          <w:rtl/>
        </w:rPr>
        <w:t xml:space="preserve">; ובנוסף, בעת שהעידו מרבית עדי המאשימה הנאשם עדיין הכחיש את </w:t>
      </w:r>
      <w:r w:rsidRPr="00D25BB2">
        <w:rPr>
          <w:rFonts w:ascii="David" w:hAnsi="David" w:cs="David" w:hint="cs"/>
          <w:sz w:val="24"/>
          <w:szCs w:val="24"/>
          <w:rtl/>
        </w:rPr>
        <w:t xml:space="preserve">אישומים 2 עד 10 </w:t>
      </w:r>
      <w:r>
        <w:rPr>
          <w:rFonts w:ascii="David" w:hAnsi="David" w:cs="David" w:hint="cs"/>
          <w:sz w:val="24"/>
          <w:szCs w:val="24"/>
          <w:rtl/>
        </w:rPr>
        <w:t>(</w:t>
      </w:r>
      <w:r w:rsidRPr="00D25BB2">
        <w:rPr>
          <w:rFonts w:ascii="David" w:hAnsi="David" w:cs="David" w:hint="cs"/>
          <w:sz w:val="24"/>
          <w:szCs w:val="24"/>
          <w:rtl/>
        </w:rPr>
        <w:t>ש"צומצמו" לאישום מס' 2 דהיום</w:t>
      </w:r>
      <w:r>
        <w:rPr>
          <w:rFonts w:ascii="David" w:hAnsi="David" w:cs="David" w:hint="cs"/>
          <w:sz w:val="24"/>
          <w:szCs w:val="24"/>
          <w:rtl/>
        </w:rPr>
        <w:t>, בו כאמור הודה הנאשם)</w:t>
      </w:r>
      <w:r w:rsidRPr="00D25BB2">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Pr="00D25BB2" w:rsidRDefault="00272CAC" w:rsidP="00272CAC">
      <w:pPr>
        <w:pStyle w:val="ac"/>
        <w:spacing w:after="0" w:line="360" w:lineRule="auto"/>
        <w:ind w:left="360"/>
        <w:jc w:val="both"/>
        <w:rPr>
          <w:rFonts w:ascii="David" w:hAnsi="David" w:cs="David"/>
          <w:sz w:val="24"/>
          <w:szCs w:val="24"/>
          <w:rtl/>
        </w:rPr>
      </w:pPr>
      <w:r w:rsidRPr="00D25BB2">
        <w:rPr>
          <w:rFonts w:ascii="David" w:hAnsi="David" w:cs="David" w:hint="cs"/>
          <w:sz w:val="24"/>
          <w:szCs w:val="24"/>
          <w:rtl/>
        </w:rPr>
        <w:t xml:space="preserve">משכך נחסך </w:t>
      </w:r>
      <w:r>
        <w:rPr>
          <w:rFonts w:ascii="David" w:hAnsi="David" w:cs="David" w:hint="cs"/>
          <w:sz w:val="24"/>
          <w:szCs w:val="24"/>
          <w:rtl/>
        </w:rPr>
        <w:t xml:space="preserve">מאתנו כיום </w:t>
      </w:r>
      <w:r w:rsidRPr="00D25BB2">
        <w:rPr>
          <w:rFonts w:ascii="David" w:hAnsi="David" w:cs="David" w:hint="cs"/>
          <w:sz w:val="24"/>
          <w:szCs w:val="24"/>
          <w:rtl/>
        </w:rPr>
        <w:t>מרבית הצורך לצלול לעומק הראיות הנוגעות לעובדות אלה ולנתחן</w:t>
      </w:r>
      <w:r>
        <w:rPr>
          <w:rFonts w:ascii="David" w:hAnsi="David" w:cs="David" w:hint="cs"/>
          <w:sz w:val="24"/>
          <w:szCs w:val="24"/>
          <w:rtl/>
        </w:rPr>
        <w:t xml:space="preserve">, </w:t>
      </w:r>
      <w:r w:rsidRPr="00D25BB2">
        <w:rPr>
          <w:rFonts w:ascii="David" w:hAnsi="David" w:cs="David" w:hint="cs"/>
          <w:sz w:val="24"/>
          <w:szCs w:val="24"/>
          <w:rtl/>
        </w:rPr>
        <w:t xml:space="preserve">ומדוע "מרבית"? שכן לראיות שהוגשו </w:t>
      </w:r>
      <w:r>
        <w:rPr>
          <w:rFonts w:ascii="David" w:hAnsi="David" w:cs="David" w:hint="cs"/>
          <w:sz w:val="24"/>
          <w:szCs w:val="24"/>
          <w:rtl/>
        </w:rPr>
        <w:t xml:space="preserve">בהקשר זה </w:t>
      </w:r>
      <w:r w:rsidRPr="00D25BB2">
        <w:rPr>
          <w:rFonts w:ascii="David" w:hAnsi="David" w:cs="David" w:hint="cs"/>
          <w:sz w:val="24"/>
          <w:szCs w:val="24"/>
          <w:rtl/>
        </w:rPr>
        <w:t>וכן לעובדות בהן הודה הנאשם, יכול ותהיינה רלוונטיות ליריעת המחלוקת שעדיין קיימת - האם הנאשם היה אדיש לתוצאות מעשיו, כגרסת המאשימה; או שמא היה היה "רק" קל דעת.</w:t>
      </w:r>
    </w:p>
    <w:p w:rsidR="00272CAC" w:rsidRDefault="00272CAC" w:rsidP="00272CAC">
      <w:pPr>
        <w:spacing w:line="360" w:lineRule="auto"/>
        <w:ind w:left="360"/>
        <w:jc w:val="both"/>
        <w:rPr>
          <w:rFonts w:ascii="David" w:hAnsi="David"/>
          <w:rtl/>
        </w:rPr>
      </w:pPr>
    </w:p>
    <w:p w:rsidR="00272CAC" w:rsidRPr="00846330" w:rsidRDefault="00272CAC" w:rsidP="00272CAC">
      <w:pPr>
        <w:spacing w:line="360" w:lineRule="auto"/>
        <w:ind w:left="360"/>
        <w:jc w:val="both"/>
        <w:rPr>
          <w:rFonts w:ascii="David" w:hAnsi="David"/>
          <w:u w:val="single"/>
          <w:rtl/>
        </w:rPr>
      </w:pPr>
      <w:r w:rsidRPr="00846330">
        <w:rPr>
          <w:rFonts w:ascii="David" w:hAnsi="David" w:hint="cs"/>
          <w:u w:val="single"/>
          <w:rtl/>
        </w:rPr>
        <w:t>תמצית טענות המאשימה</w:t>
      </w:r>
    </w:p>
    <w:p w:rsidR="00272CAC" w:rsidRPr="007476FD" w:rsidRDefault="00272CAC" w:rsidP="00272CAC">
      <w:pPr>
        <w:pStyle w:val="ac"/>
        <w:numPr>
          <w:ilvl w:val="0"/>
          <w:numId w:val="14"/>
        </w:numPr>
        <w:spacing w:after="0" w:line="360" w:lineRule="auto"/>
        <w:jc w:val="both"/>
        <w:rPr>
          <w:rFonts w:ascii="David" w:hAnsi="David" w:cs="David"/>
          <w:sz w:val="24"/>
          <w:szCs w:val="24"/>
          <w:rtl/>
        </w:rPr>
      </w:pPr>
      <w:r w:rsidRPr="007476FD">
        <w:rPr>
          <w:rFonts w:ascii="David" w:hAnsi="David" w:cs="David" w:hint="cs"/>
          <w:sz w:val="24"/>
          <w:szCs w:val="24"/>
          <w:rtl/>
        </w:rPr>
        <w:t xml:space="preserve">עיון בסיכומי המאשימה וניסיון להבין את טענותיה </w:t>
      </w:r>
      <w:r w:rsidRPr="007476FD">
        <w:rPr>
          <w:rFonts w:ascii="David" w:hAnsi="David" w:cs="David" w:hint="cs"/>
          <w:sz w:val="24"/>
          <w:szCs w:val="24"/>
          <w:u w:val="single"/>
          <w:rtl/>
        </w:rPr>
        <w:t>בפן העובדתי</w:t>
      </w:r>
      <w:r w:rsidRPr="007476FD">
        <w:rPr>
          <w:rFonts w:ascii="David" w:hAnsi="David" w:cs="David" w:hint="cs"/>
          <w:sz w:val="24"/>
          <w:szCs w:val="24"/>
          <w:rtl/>
        </w:rPr>
        <w:t xml:space="preserve"> היה מבלבל במקצת. בעוד שבכתב כתב האישום נטען באופן מפורש שהנאשם דרך את האקדח </w:t>
      </w:r>
      <w:r w:rsidRPr="007476FD">
        <w:rPr>
          <w:rFonts w:ascii="David" w:hAnsi="David" w:cs="David" w:hint="cs"/>
          <w:sz w:val="24"/>
          <w:szCs w:val="24"/>
          <w:u w:val="single"/>
          <w:rtl/>
        </w:rPr>
        <w:t>לאחר</w:t>
      </w:r>
      <w:r w:rsidRPr="007476FD">
        <w:rPr>
          <w:rFonts w:ascii="David" w:hAnsi="David" w:cs="David" w:hint="cs"/>
          <w:sz w:val="24"/>
          <w:szCs w:val="24"/>
          <w:rtl/>
        </w:rPr>
        <w:t xml:space="preserve"> שלחץ על תפס המחסנית והוציאה "</w:t>
      </w:r>
      <w:r w:rsidRPr="007476FD">
        <w:rPr>
          <w:rFonts w:ascii="David" w:hAnsi="David" w:cs="David" w:hint="cs"/>
          <w:b/>
          <w:bCs/>
          <w:sz w:val="24"/>
          <w:szCs w:val="24"/>
          <w:rtl/>
        </w:rPr>
        <w:t>מעט ממקומה</w:t>
      </w:r>
      <w:r w:rsidRPr="007476FD">
        <w:rPr>
          <w:rFonts w:ascii="David" w:hAnsi="David" w:cs="David" w:hint="cs"/>
          <w:sz w:val="24"/>
          <w:szCs w:val="24"/>
          <w:rtl/>
        </w:rPr>
        <w:t xml:space="preserve">", התברר כי בסיכומי המאשימה </w:t>
      </w:r>
      <w:r w:rsidRPr="007476FD">
        <w:rPr>
          <w:rFonts w:ascii="David" w:hAnsi="David" w:cs="David"/>
          <w:sz w:val="24"/>
          <w:szCs w:val="24"/>
          <w:rtl/>
        </w:rPr>
        <w:t>–</w:t>
      </w:r>
      <w:r w:rsidRPr="007476FD">
        <w:rPr>
          <w:rFonts w:ascii="David" w:hAnsi="David" w:cs="David" w:hint="cs"/>
          <w:sz w:val="24"/>
          <w:szCs w:val="24"/>
          <w:rtl/>
        </w:rPr>
        <w:t xml:space="preserve"> ובהמשך יובהר מדוע </w:t>
      </w:r>
      <w:r w:rsidRPr="007476FD">
        <w:rPr>
          <w:rFonts w:ascii="David" w:hAnsi="David" w:cs="David"/>
          <w:sz w:val="24"/>
          <w:szCs w:val="24"/>
          <w:rtl/>
        </w:rPr>
        <w:t>–</w:t>
      </w:r>
      <w:r w:rsidRPr="007476FD">
        <w:rPr>
          <w:rFonts w:ascii="David" w:hAnsi="David" w:cs="David" w:hint="cs"/>
          <w:sz w:val="24"/>
          <w:szCs w:val="24"/>
          <w:rtl/>
        </w:rPr>
        <w:t xml:space="preserve"> חזרה בה באופן מסוים מטענה זו גם אם לא באופן מפורש. הסיבה לכך, כך עולה על פני הדברים היא, שבמהלך ניהול ההליך התברר </w:t>
      </w:r>
      <w:r w:rsidRPr="007476FD">
        <w:rPr>
          <w:rFonts w:ascii="David" w:hAnsi="David" w:cs="David" w:hint="cs"/>
          <w:b/>
          <w:bCs/>
          <w:sz w:val="24"/>
          <w:szCs w:val="24"/>
          <w:rtl/>
        </w:rPr>
        <w:t xml:space="preserve">שדריכת הנשק כאשר המחסנית אינה תפוסה עם תפס המחסנית </w:t>
      </w:r>
      <w:r w:rsidRPr="007476FD">
        <w:rPr>
          <w:rFonts w:ascii="David" w:hAnsi="David" w:cs="David" w:hint="cs"/>
          <w:b/>
          <w:bCs/>
          <w:sz w:val="24"/>
          <w:szCs w:val="24"/>
          <w:u w:val="single"/>
          <w:rtl/>
        </w:rPr>
        <w:t>אינה</w:t>
      </w:r>
      <w:r w:rsidRPr="007476FD">
        <w:rPr>
          <w:rFonts w:ascii="David" w:hAnsi="David" w:cs="David" w:hint="cs"/>
          <w:b/>
          <w:bCs/>
          <w:sz w:val="24"/>
          <w:szCs w:val="24"/>
          <w:rtl/>
        </w:rPr>
        <w:t xml:space="preserve"> יכול לגרוף כדור לבית הבליעה</w:t>
      </w:r>
      <w:r w:rsidRPr="007476FD">
        <w:rPr>
          <w:rFonts w:ascii="David" w:hAnsi="David" w:cs="David" w:hint="cs"/>
          <w:sz w:val="24"/>
          <w:szCs w:val="24"/>
          <w:rtl/>
        </w:rPr>
        <w:t xml:space="preserve">. משמע, בהנחה </w:t>
      </w:r>
      <w:r>
        <w:rPr>
          <w:rFonts w:ascii="David" w:hAnsi="David" w:cs="David" w:hint="cs"/>
          <w:sz w:val="24"/>
          <w:szCs w:val="24"/>
          <w:rtl/>
        </w:rPr>
        <w:t>ש</w:t>
      </w:r>
      <w:r w:rsidRPr="007476FD">
        <w:rPr>
          <w:rFonts w:ascii="David" w:hAnsi="David" w:cs="David" w:hint="cs"/>
          <w:sz w:val="24"/>
          <w:szCs w:val="24"/>
          <w:rtl/>
        </w:rPr>
        <w:t xml:space="preserve">לא היה כדור בבית הבליעה עובר לאירוע, סדר הפעולות לעיל לא היה מביא לירי. הדבר נטען והוכח באופן בלתי משתמע לשתי פנים על ידי מומחה ההגנה מר הוניג; ובאופן מסוים וגם אם פחות מובהק, על ידי לא אחר מאשר מומחה הנשק מטעם המאשימה רפ"ק בוקובזה. על רקע זה, על פני הדברים, המאשימה פסחה בסיכומיה על שתי הסעיפּים - מחד, עמדה במקומות מסוימים על  שטענה בכתב האישום; אך במקומות אחרים הותירה פתח לאפשרויות אחרות. </w:t>
      </w:r>
      <w:r>
        <w:rPr>
          <w:rFonts w:ascii="David" w:hAnsi="David" w:cs="David" w:hint="cs"/>
          <w:sz w:val="24"/>
          <w:szCs w:val="24"/>
          <w:rtl/>
        </w:rPr>
        <w:t xml:space="preserve">כך, </w:t>
      </w:r>
      <w:r w:rsidRPr="007476FD">
        <w:rPr>
          <w:rFonts w:ascii="David" w:hAnsi="David" w:cs="David" w:hint="cs"/>
          <w:sz w:val="24"/>
          <w:szCs w:val="24"/>
          <w:rtl/>
        </w:rPr>
        <w:t xml:space="preserve">טענה </w:t>
      </w:r>
      <w:r>
        <w:rPr>
          <w:rFonts w:ascii="David" w:hAnsi="David" w:cs="David" w:hint="cs"/>
          <w:sz w:val="24"/>
          <w:szCs w:val="24"/>
          <w:rtl/>
        </w:rPr>
        <w:t xml:space="preserve">המאשימה </w:t>
      </w:r>
      <w:r w:rsidRPr="007476FD">
        <w:rPr>
          <w:rFonts w:ascii="David" w:hAnsi="David" w:cs="David" w:hint="cs"/>
          <w:sz w:val="24"/>
          <w:szCs w:val="24"/>
          <w:rtl/>
        </w:rPr>
        <w:t xml:space="preserve">ולו כאפשרות, שחרף לחיצת הנאשם על תפס המחסנית, </w:t>
      </w:r>
      <w:r>
        <w:rPr>
          <w:rFonts w:ascii="David" w:hAnsi="David" w:cs="David" w:hint="cs"/>
          <w:sz w:val="24"/>
          <w:szCs w:val="24"/>
          <w:rtl/>
        </w:rPr>
        <w:t xml:space="preserve">זו </w:t>
      </w:r>
      <w:r w:rsidRPr="007476FD">
        <w:rPr>
          <w:rFonts w:ascii="David" w:hAnsi="David" w:cs="David" w:hint="cs"/>
          <w:sz w:val="24"/>
          <w:szCs w:val="24"/>
          <w:rtl/>
        </w:rPr>
        <w:t>לא יצאה ממקומה. אפנה בהקשר זה, כדוגמה, לפסקה 8 בעמ' 87 שם ציינה המאשימה את הדברים הבאים: "</w:t>
      </w:r>
      <w:r w:rsidRPr="007476FD">
        <w:rPr>
          <w:rFonts w:ascii="David" w:hAnsi="David" w:cs="David" w:hint="cs"/>
          <w:b/>
          <w:bCs/>
          <w:sz w:val="24"/>
          <w:szCs w:val="24"/>
          <w:rtl/>
        </w:rPr>
        <w:t xml:space="preserve">בתשובה זו, חושף הנאשם את האמת בנוגע להנמכת המחסנית. הוא לא </w:t>
      </w:r>
      <w:r w:rsidRPr="007476FD">
        <w:rPr>
          <w:rFonts w:ascii="David" w:hAnsi="David" w:cs="David" w:hint="cs"/>
          <w:b/>
          <w:bCs/>
          <w:sz w:val="24"/>
          <w:szCs w:val="24"/>
          <w:u w:val="single"/>
          <w:rtl/>
        </w:rPr>
        <w:t>ראה</w:t>
      </w:r>
      <w:r w:rsidRPr="007476FD">
        <w:rPr>
          <w:rFonts w:ascii="David" w:hAnsi="David" w:cs="David" w:hint="cs"/>
          <w:b/>
          <w:bCs/>
          <w:sz w:val="24"/>
          <w:szCs w:val="24"/>
          <w:rtl/>
        </w:rPr>
        <w:t xml:space="preserve"> את המחסנית יורדת מטה, אלא הוא </w:t>
      </w:r>
      <w:r w:rsidRPr="007476FD">
        <w:rPr>
          <w:rFonts w:ascii="David" w:hAnsi="David" w:cs="David" w:hint="cs"/>
          <w:b/>
          <w:bCs/>
          <w:sz w:val="24"/>
          <w:szCs w:val="24"/>
          <w:u w:val="single"/>
          <w:rtl/>
        </w:rPr>
        <w:t>הניח</w:t>
      </w:r>
      <w:r w:rsidRPr="007476FD">
        <w:rPr>
          <w:rFonts w:ascii="David" w:hAnsi="David" w:cs="David" w:hint="cs"/>
          <w:b/>
          <w:bCs/>
          <w:sz w:val="24"/>
          <w:szCs w:val="24"/>
          <w:rtl/>
        </w:rPr>
        <w:t xml:space="preserve"> שהיא ירדה...</w:t>
      </w:r>
      <w:r w:rsidRPr="007476FD">
        <w:rPr>
          <w:rFonts w:ascii="David" w:hAnsi="David" w:cs="David" w:hint="cs"/>
          <w:sz w:val="24"/>
          <w:szCs w:val="24"/>
          <w:rtl/>
        </w:rPr>
        <w:t xml:space="preserve">" (ועוד ר' בהקשר זה עמ' 113 פסקה 36; עמ' 134 פסקה 48; וכן עמ' 147 פסקה 4).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אקדים ואציין כי בפן הנורמטיבי-משפטי, סדר הפעולות "הטכני" אותו ביצע הנאשם באקדח עובר לירי </w:t>
      </w:r>
      <w:r>
        <w:rPr>
          <w:rFonts w:ascii="David" w:hAnsi="David"/>
          <w:rtl/>
        </w:rPr>
        <w:t>–</w:t>
      </w:r>
      <w:r>
        <w:rPr>
          <w:rFonts w:ascii="David" w:hAnsi="David" w:hint="cs"/>
          <w:rtl/>
        </w:rPr>
        <w:t xml:space="preserve"> האם הוא "רק" לחץ על תפס המחסנית והיא יצאה "מעט" ממקומה; או שהוא לא לחץ מספיק על תפס המחסנית והיא כלל לא יצאה ממקומה; </w:t>
      </w:r>
      <w:r w:rsidRPr="005B58F9">
        <w:rPr>
          <w:rFonts w:ascii="David" w:hAnsi="David" w:hint="cs"/>
          <w:u w:val="single"/>
          <w:rtl/>
        </w:rPr>
        <w:t>או שסדר הפעולות היה שונה מזה</w:t>
      </w:r>
      <w:r>
        <w:rPr>
          <w:rFonts w:ascii="David" w:hAnsi="David" w:hint="cs"/>
          <w:rtl/>
        </w:rPr>
        <w:t xml:space="preserve">, </w:t>
      </w:r>
      <w:r w:rsidRPr="00846330">
        <w:rPr>
          <w:rFonts w:ascii="David" w:hAnsi="David" w:hint="cs"/>
          <w:u w:val="single"/>
          <w:rtl/>
        </w:rPr>
        <w:t>אינו מעלה ואינו מוריד לתוצאות הליך זה</w:t>
      </w:r>
      <w:r w:rsidRPr="00CD7122">
        <w:rPr>
          <w:rFonts w:ascii="David" w:hAnsi="David" w:hint="cs"/>
          <w:rtl/>
        </w:rPr>
        <w:t xml:space="preserve">.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sidRPr="00CD7122">
        <w:rPr>
          <w:rFonts w:ascii="David" w:hAnsi="David" w:hint="cs"/>
          <w:u w:val="single"/>
          <w:rtl/>
        </w:rPr>
        <w:t>לעניין היסוד הנפשי שהתקיים בנאשם בעת האירוע</w:t>
      </w:r>
      <w:r>
        <w:rPr>
          <w:rFonts w:ascii="David" w:hAnsi="David" w:hint="cs"/>
          <w:rtl/>
        </w:rPr>
        <w:t xml:space="preserve"> </w:t>
      </w:r>
      <w:r>
        <w:rPr>
          <w:rFonts w:ascii="David" w:hAnsi="David"/>
          <w:rtl/>
        </w:rPr>
        <w:t>–</w:t>
      </w:r>
      <w:r>
        <w:rPr>
          <w:rFonts w:ascii="David" w:hAnsi="David" w:hint="cs"/>
          <w:rtl/>
        </w:rPr>
        <w:t xml:space="preserve"> </w:t>
      </w:r>
      <w:r w:rsidRPr="00846330">
        <w:rPr>
          <w:rFonts w:ascii="David" w:hAnsi="David" w:hint="cs"/>
          <w:b/>
          <w:bCs/>
          <w:rtl/>
        </w:rPr>
        <w:t>וזה כאמור לב לבו של ההליך שלפנינו</w:t>
      </w:r>
      <w:r>
        <w:rPr>
          <w:rFonts w:ascii="David" w:hAnsi="David" w:hint="cs"/>
          <w:rtl/>
        </w:rPr>
        <w:t xml:space="preserve"> </w:t>
      </w:r>
      <w:r>
        <w:rPr>
          <w:rFonts w:ascii="David" w:hAnsi="David"/>
          <w:rtl/>
        </w:rPr>
        <w:t>–</w:t>
      </w:r>
      <w:r>
        <w:rPr>
          <w:rFonts w:ascii="David" w:hAnsi="David" w:hint="cs"/>
          <w:rtl/>
        </w:rPr>
        <w:t xml:space="preserve"> טענה המאשימה שהנאשם היה אדיש לאפשרות מותו של המנוח. מדובר, כך נטען, במי שידע שמעשיו מסוכנים ומסכני חיים; הוא ביצע מעשים מופקרים ושערורייתיים שדומים להם ביצע בעבר כמתואר באישום מס' 2 שבעובדותיו הודה; הוא קיווה, חרף אינספור אזהרות שקיבל אודות סכנת החיים שבמעשיו שגם בפעם הרלוונטית המזל יעמוד לצדו, אך זה אזל לרוע מזלו של </w:t>
      </w:r>
      <w:r>
        <w:rPr>
          <w:rFonts w:ascii="David" w:hAnsi="David" w:hint="cs"/>
          <w:rtl/>
        </w:rPr>
        <w:lastRenderedPageBreak/>
        <w:t xml:space="preserve">המנוח. מדובר אם כן, כך נטען, ב"שור מועד" ששרשרת מעשיו אינה מאפשרת לו </w:t>
      </w:r>
      <w:r w:rsidRPr="00846330">
        <w:rPr>
          <w:rFonts w:ascii="David" w:hAnsi="David" w:hint="cs"/>
          <w:rtl/>
        </w:rPr>
        <w:t>לטעון שהיתה לו תקווה מעוגנת במציאות להצליח למנוע את גרימת התוצאה</w:t>
      </w:r>
      <w:r>
        <w:rPr>
          <w:rFonts w:ascii="David" w:hAnsi="David" w:hint="cs"/>
          <w:rtl/>
        </w:rPr>
        <w:t xml:space="preserve">. </w:t>
      </w:r>
      <w:r w:rsidRPr="00846330">
        <w:rPr>
          <w:rFonts w:ascii="David" w:hAnsi="David" w:hint="cs"/>
          <w:rtl/>
        </w:rPr>
        <w:t>רק נס יכול היה למנוע את מות המנוח</w:t>
      </w:r>
      <w:r>
        <w:rPr>
          <w:rFonts w:ascii="David" w:hAnsi="David" w:hint="cs"/>
          <w:rtl/>
        </w:rPr>
        <w:t>, וזה כאמור לא התרחש</w:t>
      </w:r>
      <w:r w:rsidRPr="00846330">
        <w:rPr>
          <w:rFonts w:ascii="David" w:hAnsi="David" w:hint="cs"/>
          <w:rtl/>
        </w:rPr>
        <w:t>. ועוד בהקשר זה נטען</w:t>
      </w:r>
      <w:r>
        <w:rPr>
          <w:rFonts w:ascii="David" w:hAnsi="David" w:hint="cs"/>
          <w:rtl/>
        </w:rPr>
        <w:t>,</w:t>
      </w:r>
      <w:r w:rsidRPr="00846330">
        <w:rPr>
          <w:rFonts w:ascii="David" w:hAnsi="David" w:hint="cs"/>
          <w:rtl/>
        </w:rPr>
        <w:t xml:space="preserve"> כי בענייננו יש להחיל את חזקת האדישות משום הסטייה הקיצונית מרף הסיכון הסביר. המאשימה </w:t>
      </w:r>
      <w:r>
        <w:rPr>
          <w:rFonts w:ascii="David" w:hAnsi="David" w:hint="cs"/>
          <w:rtl/>
        </w:rPr>
        <w:t xml:space="preserve">אף </w:t>
      </w:r>
      <w:r w:rsidRPr="00846330">
        <w:rPr>
          <w:rFonts w:ascii="David" w:hAnsi="David" w:hint="cs"/>
          <w:rtl/>
        </w:rPr>
        <w:t xml:space="preserve">הפנתה להתבטאות קודמת של הנאשם אז כיוון את אקדחו </w:t>
      </w:r>
      <w:r w:rsidRPr="00846330">
        <w:rPr>
          <w:rFonts w:ascii="David" w:hAnsi="David"/>
          <w:rtl/>
        </w:rPr>
        <w:t xml:space="preserve">לעבר </w:t>
      </w:r>
      <w:r w:rsidRPr="00846330">
        <w:rPr>
          <w:rFonts w:ascii="David" w:hAnsi="David" w:hint="cs"/>
          <w:rtl/>
        </w:rPr>
        <w:t xml:space="preserve">השוטר </w:t>
      </w:r>
      <w:r w:rsidRPr="00846330">
        <w:rPr>
          <w:rFonts w:ascii="David" w:hAnsi="David"/>
          <w:rtl/>
        </w:rPr>
        <w:t>חביב</w:t>
      </w:r>
      <w:r w:rsidRPr="00846330">
        <w:rPr>
          <w:rFonts w:ascii="David" w:hAnsi="David" w:hint="cs"/>
          <w:rtl/>
        </w:rPr>
        <w:t xml:space="preserve">, וכשהלה הזהיר את הנאשם הגיב הנאשם באמרו </w:t>
      </w:r>
      <w:r w:rsidRPr="00846330">
        <w:rPr>
          <w:rFonts w:ascii="David" w:hAnsi="David"/>
          <w:rtl/>
        </w:rPr>
        <w:t>"לא אכפת לי"</w:t>
      </w:r>
      <w:r w:rsidRPr="00846330">
        <w:rPr>
          <w:rFonts w:ascii="David" w:hAnsi="David" w:hint="cs"/>
          <w:rtl/>
        </w:rPr>
        <w:t xml:space="preserve"> </w:t>
      </w:r>
      <w:r w:rsidRPr="00846330">
        <w:rPr>
          <w:rFonts w:ascii="David" w:hAnsi="David"/>
          <w:rtl/>
        </w:rPr>
        <w:t>–</w:t>
      </w:r>
      <w:r w:rsidRPr="00846330">
        <w:rPr>
          <w:rFonts w:ascii="David" w:hAnsi="David" w:hint="cs"/>
          <w:rtl/>
        </w:rPr>
        <w:t xml:space="preserve"> א</w:t>
      </w:r>
      <w:r>
        <w:rPr>
          <w:rFonts w:ascii="David" w:hAnsi="David" w:hint="cs"/>
          <w:rtl/>
        </w:rPr>
        <w:t>ִ</w:t>
      </w:r>
      <w:r w:rsidRPr="00846330">
        <w:rPr>
          <w:rFonts w:ascii="David" w:hAnsi="David" w:hint="cs"/>
          <w:rtl/>
        </w:rPr>
        <w:t>מ</w:t>
      </w:r>
      <w:r>
        <w:rPr>
          <w:rFonts w:ascii="David" w:hAnsi="David" w:hint="cs"/>
          <w:rtl/>
        </w:rPr>
        <w:t>ְ</w:t>
      </w:r>
      <w:r w:rsidRPr="00846330">
        <w:rPr>
          <w:rFonts w:ascii="David" w:hAnsi="David" w:hint="cs"/>
          <w:rtl/>
        </w:rPr>
        <w:t>רה המצביעה לשיטת המאשימה על הלך נפשו גם בזמן האירוע; וכן הפנתה לאינספור שקריו החל מסמוך לאחר האירוע</w:t>
      </w:r>
      <w:r>
        <w:rPr>
          <w:rFonts w:ascii="David" w:hAnsi="David" w:hint="cs"/>
          <w:rtl/>
        </w:rPr>
        <w:t>,</w:t>
      </w:r>
      <w:r w:rsidRPr="00846330">
        <w:rPr>
          <w:rFonts w:ascii="David" w:hAnsi="David" w:hint="cs"/>
          <w:rtl/>
        </w:rPr>
        <w:t xml:space="preserve"> אז טען בפני חבריו ליחידה כי המנוח התאבד;</w:t>
      </w:r>
      <w:r w:rsidRPr="00846330">
        <w:rPr>
          <w:rFonts w:ascii="David" w:hAnsi="David"/>
          <w:rtl/>
        </w:rPr>
        <w:t xml:space="preserve"> </w:t>
      </w:r>
      <w:r w:rsidRPr="00846330">
        <w:rPr>
          <w:rFonts w:ascii="David" w:hAnsi="David" w:hint="cs"/>
          <w:rtl/>
        </w:rPr>
        <w:t>דרך חקירותיו בהן חזר על טענותיו לעיל; וכלה בחלקים ניכרים מההליך המשפטי אז הכחיש את הירי במנוח ואת יתר מעשיו, דבר ש</w:t>
      </w:r>
      <w:r>
        <w:rPr>
          <w:rFonts w:ascii="David" w:hAnsi="David" w:hint="cs"/>
          <w:rtl/>
        </w:rPr>
        <w:t xml:space="preserve">חייב </w:t>
      </w:r>
      <w:r w:rsidRPr="00846330">
        <w:rPr>
          <w:rFonts w:ascii="David" w:hAnsi="David" w:hint="cs"/>
          <w:rtl/>
        </w:rPr>
        <w:t xml:space="preserve">את המאשימה להעיד את מרבית עדיה. </w:t>
      </w:r>
      <w:r>
        <w:rPr>
          <w:rFonts w:ascii="David" w:hAnsi="David" w:hint="cs"/>
          <w:rtl/>
        </w:rPr>
        <w:t xml:space="preserve">כל אלה מעידים לשיטת המאשימה על הלך נפשו של הנאשם וכך גם מעשיו בשניות שלאחר הירי </w:t>
      </w:r>
      <w:r>
        <w:rPr>
          <w:rFonts w:ascii="David" w:hAnsi="David"/>
          <w:rtl/>
        </w:rPr>
        <w:t>–</w:t>
      </w:r>
      <w:r>
        <w:rPr>
          <w:rFonts w:ascii="David" w:hAnsi="David" w:hint="cs"/>
          <w:rtl/>
        </w:rPr>
        <w:t xml:space="preserve"> הנחת האקדח על גופו של המנוח והשקרים שמסר לחבריו, אלה מקיימים את הכלל של "סופו המעיד על תחילתו" ומחזקים את הטענה שבעת האירוע הוא היה אדיש לתוצאות מעשיו. </w:t>
      </w:r>
    </w:p>
    <w:p w:rsidR="00272CAC" w:rsidRDefault="00272CAC" w:rsidP="00272CAC">
      <w:pPr>
        <w:spacing w:line="360" w:lineRule="auto"/>
        <w:jc w:val="both"/>
        <w:rPr>
          <w:rFonts w:ascii="David" w:hAnsi="David"/>
          <w:rtl/>
        </w:rPr>
      </w:pPr>
    </w:p>
    <w:p w:rsidR="00272CAC" w:rsidRPr="00846330" w:rsidRDefault="00272CAC" w:rsidP="00272CAC">
      <w:pPr>
        <w:spacing w:line="360" w:lineRule="auto"/>
        <w:ind w:firstLine="360"/>
        <w:jc w:val="both"/>
        <w:rPr>
          <w:rFonts w:ascii="David" w:hAnsi="David"/>
          <w:u w:val="single"/>
          <w:rtl/>
        </w:rPr>
      </w:pPr>
      <w:r w:rsidRPr="00846330">
        <w:rPr>
          <w:rFonts w:ascii="David" w:hAnsi="David" w:hint="cs"/>
          <w:u w:val="single"/>
          <w:rtl/>
        </w:rPr>
        <w:t>תמצית טענות ההגנה</w:t>
      </w:r>
    </w:p>
    <w:p w:rsidR="00272CAC" w:rsidRPr="007476FD" w:rsidRDefault="00272CAC" w:rsidP="00272CAC">
      <w:pPr>
        <w:pStyle w:val="ac"/>
        <w:numPr>
          <w:ilvl w:val="0"/>
          <w:numId w:val="14"/>
        </w:numPr>
        <w:spacing w:after="0" w:line="360" w:lineRule="auto"/>
        <w:jc w:val="both"/>
        <w:rPr>
          <w:rFonts w:ascii="David" w:hAnsi="David" w:cs="David"/>
          <w:sz w:val="24"/>
          <w:szCs w:val="24"/>
          <w:rtl/>
        </w:rPr>
      </w:pPr>
      <w:r w:rsidRPr="007476FD">
        <w:rPr>
          <w:rFonts w:ascii="David" w:hAnsi="David" w:cs="David" w:hint="cs"/>
          <w:sz w:val="24"/>
          <w:szCs w:val="24"/>
          <w:rtl/>
        </w:rPr>
        <w:t>ההגנה טענה כטענה מקדמית כי עומדת לנאשם הגנה מן הצדק משום ההליך הבלתי תקין של תיקון כתב האישום. ההגנה הפנתה לכך כי במקור, האישום המרכזי שיוחס ל</w:t>
      </w:r>
      <w:r>
        <w:rPr>
          <w:rFonts w:ascii="David" w:hAnsi="David" w:cs="David" w:hint="cs"/>
          <w:sz w:val="24"/>
          <w:szCs w:val="24"/>
          <w:rtl/>
        </w:rPr>
        <w:t>נאשם</w:t>
      </w:r>
      <w:r w:rsidRPr="007476FD">
        <w:rPr>
          <w:rFonts w:ascii="David" w:hAnsi="David" w:cs="David" w:hint="cs"/>
          <w:sz w:val="24"/>
          <w:szCs w:val="24"/>
          <w:rtl/>
        </w:rPr>
        <w:t xml:space="preserve"> היה המתה בקלות דעת. הדבר היה לאחר שכלל הראיות נבחנו ונותחו על ידי ראשי הפרקליטות. האחרונים עמדו על עמדתם לעיל גם לאחר שמשפחת המנוח פנתה א</w:t>
      </w:r>
      <w:r>
        <w:rPr>
          <w:rFonts w:ascii="David" w:hAnsi="David" w:cs="David" w:hint="cs"/>
          <w:sz w:val="24"/>
          <w:szCs w:val="24"/>
          <w:rtl/>
        </w:rPr>
        <w:t>ל</w:t>
      </w:r>
      <w:r w:rsidRPr="007476FD">
        <w:rPr>
          <w:rFonts w:ascii="David" w:hAnsi="David" w:cs="David" w:hint="cs"/>
          <w:sz w:val="24"/>
          <w:szCs w:val="24"/>
          <w:rtl/>
        </w:rPr>
        <w:t xml:space="preserve"> המאשימה בבקשה לתקן את כתב האישום לעבירה של רצח, וגם לאחר שהמשפחה עתרה לבית המשפט ה</w:t>
      </w:r>
      <w:r>
        <w:rPr>
          <w:rFonts w:ascii="David" w:hAnsi="David" w:cs="David" w:hint="cs"/>
          <w:sz w:val="24"/>
          <w:szCs w:val="24"/>
          <w:rtl/>
        </w:rPr>
        <w:t xml:space="preserve">עליון </w:t>
      </w:r>
      <w:r w:rsidRPr="007476FD">
        <w:rPr>
          <w:rFonts w:ascii="David" w:hAnsi="David" w:cs="David" w:hint="cs"/>
          <w:sz w:val="24"/>
          <w:szCs w:val="24"/>
          <w:rtl/>
        </w:rPr>
        <w:t xml:space="preserve">בשבתו כבג"צ. לא זו אף זו, במסגרת תשובת המאשימה לבג"צ נטען כי בחינה עניינית של המקרה מוליכה למסקנה היחידה והיא כי העבירה שיש לייחס לנאשם היא המתה בקלות דעת. רק בהמשך, במהלך שלשיטת ההגנה לא נומק, החליטה המאשימה לבקש את תיקונו של כתב האישום ולייחס לו עבירה של רצח באדישות. </w:t>
      </w:r>
      <w:r>
        <w:rPr>
          <w:rFonts w:ascii="David" w:hAnsi="David" w:cs="David" w:hint="cs"/>
          <w:sz w:val="24"/>
          <w:szCs w:val="24"/>
          <w:rtl/>
        </w:rPr>
        <w:t xml:space="preserve">ההגנה הוסיפה וטענה כי </w:t>
      </w:r>
      <w:r w:rsidRPr="007476FD">
        <w:rPr>
          <w:rFonts w:ascii="David" w:hAnsi="David" w:cs="David" w:hint="cs"/>
          <w:sz w:val="24"/>
          <w:szCs w:val="24"/>
          <w:rtl/>
        </w:rPr>
        <w:t>מקרהו של הנאשם אינו שונה מהותית ממקרים אחרים בהם "משחקים" בנשק הובילו לקיפוד חיי אדם לגביהם נקבע כי מדובר בקלות דעת</w:t>
      </w:r>
      <w:r>
        <w:rPr>
          <w:rFonts w:ascii="David" w:hAnsi="David" w:cs="David" w:hint="cs"/>
          <w:sz w:val="24"/>
          <w:szCs w:val="24"/>
          <w:rtl/>
        </w:rPr>
        <w:t xml:space="preserve">. </w:t>
      </w:r>
      <w:r w:rsidRPr="007476FD">
        <w:rPr>
          <w:rFonts w:ascii="David" w:hAnsi="David" w:cs="David" w:hint="cs"/>
          <w:sz w:val="24"/>
          <w:szCs w:val="24"/>
          <w:rtl/>
        </w:rPr>
        <w:t>משכך</w:t>
      </w:r>
      <w:r>
        <w:rPr>
          <w:rFonts w:ascii="David" w:hAnsi="David" w:cs="David" w:hint="cs"/>
          <w:sz w:val="24"/>
          <w:szCs w:val="24"/>
          <w:rtl/>
        </w:rPr>
        <w:t>,</w:t>
      </w:r>
      <w:r w:rsidRPr="007476FD">
        <w:rPr>
          <w:rFonts w:ascii="David" w:hAnsi="David" w:cs="David" w:hint="cs"/>
          <w:sz w:val="24"/>
          <w:szCs w:val="24"/>
          <w:rtl/>
        </w:rPr>
        <w:t xml:space="preserve"> ייחוס אדישות לנאשם במקרה דנן מהווה אכיפה בררנית הפוגעת בערך השוויון בפני החוק. </w:t>
      </w:r>
      <w:r>
        <w:rPr>
          <w:rFonts w:ascii="David" w:hAnsi="David" w:cs="David" w:hint="cs"/>
          <w:sz w:val="24"/>
          <w:szCs w:val="24"/>
          <w:rtl/>
        </w:rPr>
        <w:t xml:space="preserve">סיכומו של דבר לעניין זה, נטען כי </w:t>
      </w:r>
      <w:r w:rsidRPr="007476FD">
        <w:rPr>
          <w:rFonts w:ascii="David" w:hAnsi="David" w:cs="David" w:hint="cs"/>
          <w:sz w:val="24"/>
          <w:szCs w:val="24"/>
          <w:rtl/>
        </w:rPr>
        <w:t xml:space="preserve">גם אם </w:t>
      </w:r>
      <w:r>
        <w:rPr>
          <w:rFonts w:ascii="David" w:hAnsi="David" w:cs="David" w:hint="cs"/>
          <w:sz w:val="24"/>
          <w:szCs w:val="24"/>
          <w:rtl/>
        </w:rPr>
        <w:t>ה</w:t>
      </w:r>
      <w:r w:rsidRPr="007476FD">
        <w:rPr>
          <w:rFonts w:ascii="David" w:hAnsi="David" w:cs="David" w:hint="cs"/>
          <w:sz w:val="24"/>
          <w:szCs w:val="24"/>
          <w:rtl/>
        </w:rPr>
        <w:t xml:space="preserve">פגמים </w:t>
      </w:r>
      <w:r>
        <w:rPr>
          <w:rFonts w:ascii="David" w:hAnsi="David" w:cs="David" w:hint="cs"/>
          <w:sz w:val="24"/>
          <w:szCs w:val="24"/>
          <w:rtl/>
        </w:rPr>
        <w:t xml:space="preserve">לעיל </w:t>
      </w:r>
      <w:r w:rsidRPr="007476FD">
        <w:rPr>
          <w:rFonts w:ascii="David" w:hAnsi="David" w:cs="David" w:hint="cs"/>
          <w:sz w:val="24"/>
          <w:szCs w:val="24"/>
          <w:rtl/>
        </w:rPr>
        <w:t>אינם מצדיקים את זיכוי הנאשם הם מחייבים לכל הפחות וללא קשר לאשמת</w:t>
      </w:r>
      <w:r>
        <w:rPr>
          <w:rFonts w:ascii="David" w:hAnsi="David" w:cs="David" w:hint="cs"/>
          <w:sz w:val="24"/>
          <w:szCs w:val="24"/>
          <w:rtl/>
        </w:rPr>
        <w:t>ו</w:t>
      </w:r>
      <w:r w:rsidRPr="007476FD">
        <w:rPr>
          <w:rFonts w:ascii="David" w:hAnsi="David" w:cs="David" w:hint="cs"/>
          <w:sz w:val="24"/>
          <w:szCs w:val="24"/>
          <w:rtl/>
        </w:rPr>
        <w:t>, את ביטול עביר</w:t>
      </w:r>
      <w:r>
        <w:rPr>
          <w:rFonts w:ascii="David" w:hAnsi="David" w:cs="David" w:hint="cs"/>
          <w:sz w:val="24"/>
          <w:szCs w:val="24"/>
          <w:rtl/>
        </w:rPr>
        <w:t>ת ה</w:t>
      </w:r>
      <w:r w:rsidRPr="007476FD">
        <w:rPr>
          <w:rFonts w:ascii="David" w:hAnsi="David" w:cs="David" w:hint="cs"/>
          <w:sz w:val="24"/>
          <w:szCs w:val="24"/>
          <w:rtl/>
        </w:rPr>
        <w:t xml:space="preserve">רצח באדישות ובמקום זאת להסתפק בסעד מידתי </w:t>
      </w:r>
      <w:r>
        <w:rPr>
          <w:rFonts w:ascii="David" w:hAnsi="David" w:cs="David" w:hint="cs"/>
          <w:sz w:val="24"/>
          <w:szCs w:val="24"/>
          <w:rtl/>
        </w:rPr>
        <w:t xml:space="preserve">של הרשעתו </w:t>
      </w:r>
      <w:r w:rsidRPr="007476FD">
        <w:rPr>
          <w:rFonts w:ascii="David" w:hAnsi="David" w:cs="David" w:hint="cs"/>
          <w:sz w:val="24"/>
          <w:szCs w:val="24"/>
          <w:rtl/>
        </w:rPr>
        <w:t>בעבירה של גר</w:t>
      </w:r>
      <w:r>
        <w:rPr>
          <w:rFonts w:ascii="David" w:hAnsi="David" w:cs="David" w:hint="cs"/>
          <w:sz w:val="24"/>
          <w:szCs w:val="24"/>
          <w:rtl/>
        </w:rPr>
        <w:t xml:space="preserve">ימת </w:t>
      </w:r>
      <w:r w:rsidRPr="007476FD">
        <w:rPr>
          <w:rFonts w:ascii="David" w:hAnsi="David" w:cs="David" w:hint="cs"/>
          <w:sz w:val="24"/>
          <w:szCs w:val="24"/>
          <w:rtl/>
        </w:rPr>
        <w:t xml:space="preserve">מוות ברשלנות או לכל היותר המתה בקלות דעת (ר' פסקה 29 לסיכומי הנאשם). </w:t>
      </w:r>
    </w:p>
    <w:p w:rsidR="00272CAC" w:rsidRPr="007476FD" w:rsidRDefault="00272CAC" w:rsidP="00272CAC">
      <w:pPr>
        <w:pStyle w:val="ac"/>
        <w:spacing w:after="0" w:line="360" w:lineRule="auto"/>
        <w:ind w:left="360"/>
        <w:jc w:val="both"/>
        <w:rPr>
          <w:rFonts w:ascii="David" w:hAnsi="David" w:cs="David"/>
          <w:sz w:val="24"/>
          <w:szCs w:val="24"/>
          <w:rtl/>
        </w:rPr>
      </w:pPr>
    </w:p>
    <w:p w:rsidR="00272CAC" w:rsidRPr="007476FD" w:rsidRDefault="00272CAC" w:rsidP="00272CAC">
      <w:pPr>
        <w:pStyle w:val="ac"/>
        <w:spacing w:after="0" w:line="360" w:lineRule="auto"/>
        <w:ind w:left="360"/>
        <w:jc w:val="both"/>
        <w:rPr>
          <w:rFonts w:ascii="David" w:hAnsi="David" w:cs="David"/>
          <w:sz w:val="24"/>
          <w:szCs w:val="24"/>
          <w:rtl/>
        </w:rPr>
      </w:pPr>
      <w:r w:rsidRPr="007476FD">
        <w:rPr>
          <w:rFonts w:ascii="David" w:hAnsi="David" w:cs="David" w:hint="cs"/>
          <w:sz w:val="24"/>
          <w:szCs w:val="24"/>
          <w:rtl/>
        </w:rPr>
        <w:t>לגו</w:t>
      </w:r>
      <w:r>
        <w:rPr>
          <w:rFonts w:ascii="David" w:hAnsi="David" w:cs="David" w:hint="cs"/>
          <w:sz w:val="24"/>
          <w:szCs w:val="24"/>
          <w:rtl/>
        </w:rPr>
        <w:t>ף ה</w:t>
      </w:r>
      <w:r w:rsidRPr="007476FD">
        <w:rPr>
          <w:rFonts w:ascii="David" w:hAnsi="David" w:cs="David" w:hint="cs"/>
          <w:sz w:val="24"/>
          <w:szCs w:val="24"/>
          <w:rtl/>
        </w:rPr>
        <w:t>עניין, הפנ</w:t>
      </w:r>
      <w:r>
        <w:rPr>
          <w:rFonts w:ascii="David" w:hAnsi="David" w:cs="David" w:hint="cs"/>
          <w:sz w:val="24"/>
          <w:szCs w:val="24"/>
          <w:rtl/>
        </w:rPr>
        <w:t xml:space="preserve">תה ההגנה </w:t>
      </w:r>
      <w:r w:rsidRPr="007476FD">
        <w:rPr>
          <w:rFonts w:ascii="David" w:hAnsi="David" w:cs="David" w:hint="cs"/>
          <w:sz w:val="24"/>
          <w:szCs w:val="24"/>
          <w:rtl/>
        </w:rPr>
        <w:t xml:space="preserve">לאופן שבו נוסח כתב האישום המתוקן שם נטען כי </w:t>
      </w:r>
      <w:r>
        <w:rPr>
          <w:rFonts w:ascii="David" w:hAnsi="David" w:cs="David" w:hint="cs"/>
          <w:sz w:val="24"/>
          <w:szCs w:val="24"/>
          <w:rtl/>
        </w:rPr>
        <w:t xml:space="preserve">הנאשם </w:t>
      </w:r>
      <w:r w:rsidRPr="007476FD">
        <w:rPr>
          <w:rFonts w:ascii="David" w:hAnsi="David" w:cs="David" w:hint="cs"/>
          <w:sz w:val="24"/>
          <w:szCs w:val="24"/>
          <w:rtl/>
        </w:rPr>
        <w:t>"</w:t>
      </w:r>
      <w:r w:rsidRPr="007476FD">
        <w:rPr>
          <w:rFonts w:ascii="David" w:hAnsi="David" w:cs="David" w:hint="cs"/>
          <w:b/>
          <w:bCs/>
          <w:sz w:val="24"/>
          <w:szCs w:val="24"/>
          <w:rtl/>
        </w:rPr>
        <w:t>לחץ על תפס המחסנית, הוציאה מעט ממקומה, בניסיון שכך לא ייגרף כדור אל בית הבליעה ומיד דרך את הנשק..</w:t>
      </w:r>
      <w:r w:rsidRPr="007476FD">
        <w:rPr>
          <w:rFonts w:ascii="David" w:hAnsi="David" w:cs="David" w:hint="cs"/>
          <w:sz w:val="24"/>
          <w:szCs w:val="24"/>
          <w:rtl/>
        </w:rPr>
        <w:t xml:space="preserve">". </w:t>
      </w:r>
      <w:r>
        <w:rPr>
          <w:rFonts w:ascii="David" w:hAnsi="David" w:cs="David" w:hint="cs"/>
          <w:sz w:val="24"/>
          <w:szCs w:val="24"/>
          <w:rtl/>
        </w:rPr>
        <w:t xml:space="preserve">ההגנה המשיכה וטענה כי </w:t>
      </w:r>
      <w:r w:rsidRPr="007476FD">
        <w:rPr>
          <w:rFonts w:ascii="David" w:hAnsi="David" w:cs="David" w:hint="cs"/>
          <w:sz w:val="24"/>
          <w:szCs w:val="24"/>
          <w:rtl/>
        </w:rPr>
        <w:t xml:space="preserve">מנוסח זה </w:t>
      </w:r>
      <w:r>
        <w:rPr>
          <w:rFonts w:ascii="David" w:hAnsi="David" w:cs="David"/>
          <w:sz w:val="24"/>
          <w:szCs w:val="24"/>
          <w:rtl/>
        </w:rPr>
        <w:t>–</w:t>
      </w:r>
      <w:r>
        <w:rPr>
          <w:rFonts w:ascii="David" w:hAnsi="David" w:cs="David" w:hint="cs"/>
          <w:sz w:val="24"/>
          <w:szCs w:val="24"/>
          <w:rtl/>
        </w:rPr>
        <w:t xml:space="preserve"> בו אחזה המאשימה עוד כאשר כתב האישום </w:t>
      </w:r>
      <w:r>
        <w:rPr>
          <w:rFonts w:ascii="David" w:hAnsi="David" w:cs="David" w:hint="cs"/>
          <w:sz w:val="24"/>
          <w:szCs w:val="24"/>
          <w:rtl/>
        </w:rPr>
        <w:lastRenderedPageBreak/>
        <w:t xml:space="preserve">ייחס לנאשם עבירה של המתה בקלות דעת - </w:t>
      </w:r>
      <w:r w:rsidRPr="007476FD">
        <w:rPr>
          <w:rFonts w:ascii="David" w:hAnsi="David" w:cs="David" w:hint="cs"/>
          <w:sz w:val="24"/>
          <w:szCs w:val="24"/>
          <w:rtl/>
        </w:rPr>
        <w:t>ניתן ללמוד כי עמדת המאשימה היא לקלות דעת ולא יותר מכך</w:t>
      </w:r>
      <w:r>
        <w:rPr>
          <w:rFonts w:ascii="David" w:hAnsi="David" w:cs="David" w:hint="cs"/>
          <w:sz w:val="24"/>
          <w:szCs w:val="24"/>
          <w:rtl/>
        </w:rPr>
        <w:t xml:space="preserve">, שכן עמדת המאשימה היתה, ועודנה, כי </w:t>
      </w:r>
      <w:r w:rsidRPr="007476FD">
        <w:rPr>
          <w:rFonts w:ascii="David" w:hAnsi="David" w:cs="David" w:hint="cs"/>
          <w:sz w:val="24"/>
          <w:szCs w:val="24"/>
          <w:rtl/>
        </w:rPr>
        <w:t>הנאשם קיווה בפועל שהתוצאה לא תתרחש</w:t>
      </w:r>
      <w:r>
        <w:rPr>
          <w:rFonts w:ascii="David" w:hAnsi="David" w:cs="David" w:hint="cs"/>
          <w:sz w:val="24"/>
          <w:szCs w:val="24"/>
          <w:rtl/>
        </w:rPr>
        <w:t xml:space="preserve"> ("</w:t>
      </w:r>
      <w:r w:rsidRPr="007476FD">
        <w:rPr>
          <w:rFonts w:ascii="David" w:hAnsi="David" w:cs="David" w:hint="cs"/>
          <w:b/>
          <w:bCs/>
          <w:sz w:val="24"/>
          <w:szCs w:val="24"/>
          <w:rtl/>
        </w:rPr>
        <w:t>בניסיון שכך לא ייגרף כדור אל בית הבליעה..</w:t>
      </w:r>
      <w:r>
        <w:rPr>
          <w:rFonts w:ascii="David" w:hAnsi="David" w:cs="David" w:hint="cs"/>
          <w:sz w:val="24"/>
          <w:szCs w:val="24"/>
          <w:rtl/>
        </w:rPr>
        <w:t>")</w:t>
      </w:r>
      <w:r w:rsidRPr="007476FD">
        <w:rPr>
          <w:rFonts w:ascii="David" w:hAnsi="David" w:cs="David" w:hint="cs"/>
          <w:sz w:val="24"/>
          <w:szCs w:val="24"/>
          <w:rtl/>
        </w:rPr>
        <w:t>.</w:t>
      </w:r>
    </w:p>
    <w:p w:rsidR="00272CAC" w:rsidRPr="007476FD" w:rsidRDefault="00272CAC" w:rsidP="00272CAC">
      <w:pPr>
        <w:pStyle w:val="ac"/>
        <w:spacing w:after="0" w:line="360" w:lineRule="auto"/>
        <w:ind w:left="360"/>
        <w:jc w:val="both"/>
        <w:rPr>
          <w:rFonts w:ascii="David" w:hAnsi="David" w:cs="David"/>
          <w:sz w:val="24"/>
          <w:szCs w:val="24"/>
          <w:rtl/>
        </w:rPr>
      </w:pPr>
    </w:p>
    <w:p w:rsidR="00272CAC" w:rsidRPr="007476FD" w:rsidRDefault="00272CAC" w:rsidP="00272CAC">
      <w:pPr>
        <w:pStyle w:val="ac"/>
        <w:spacing w:after="0" w:line="360" w:lineRule="auto"/>
        <w:ind w:left="360"/>
        <w:jc w:val="both"/>
        <w:rPr>
          <w:rFonts w:ascii="David" w:hAnsi="David" w:cs="David"/>
          <w:sz w:val="24"/>
          <w:szCs w:val="24"/>
          <w:rtl/>
        </w:rPr>
      </w:pPr>
      <w:r w:rsidRPr="007476FD">
        <w:rPr>
          <w:rFonts w:ascii="David" w:hAnsi="David" w:cs="David" w:hint="cs"/>
          <w:sz w:val="24"/>
          <w:szCs w:val="24"/>
          <w:rtl/>
        </w:rPr>
        <w:t xml:space="preserve">ההגנה הקדישה פרק נרחב בסיכומיה לסדר הפעולות שבוצע באקדח וניסתה לתת הסבר להימצאות הכדור בבית הבליעה עובר לירי. </w:t>
      </w:r>
      <w:r>
        <w:rPr>
          <w:rFonts w:ascii="David" w:hAnsi="David" w:cs="David" w:hint="cs"/>
          <w:sz w:val="24"/>
          <w:szCs w:val="24"/>
          <w:rtl/>
        </w:rPr>
        <w:t xml:space="preserve">גם ההגנה ניסתה להלך בין הטיפות בהקשר לתרחיש העובדתי אותו ביצע הנאשם בנשק עובר לירי. מחד, ביקשה לאמץ את גרסתו בפני המדובב ועליה חזר גם בעדותו בבית המשפט; גרסה שכאמור באה לידי ביטוי גם בכתב האישום; ובו זמנית, ומנגד, אישרה כי מדובר תרחיש בלתי מציאותי ואף ציינה כי </w:t>
      </w:r>
      <w:r w:rsidRPr="007476FD">
        <w:rPr>
          <w:rFonts w:ascii="David" w:hAnsi="David" w:cs="David" w:hint="cs"/>
          <w:sz w:val="24"/>
          <w:szCs w:val="24"/>
          <w:rtl/>
        </w:rPr>
        <w:t>"</w:t>
      </w:r>
      <w:r w:rsidRPr="007476FD">
        <w:rPr>
          <w:rFonts w:ascii="David" w:hAnsi="David" w:cs="David" w:hint="cs"/>
          <w:b/>
          <w:bCs/>
          <w:sz w:val="24"/>
          <w:szCs w:val="24"/>
          <w:rtl/>
        </w:rPr>
        <w:t>שאלות רבות במקרה שבפנינו נותרו ללא מענה ברור וחד משמעי.."</w:t>
      </w:r>
      <w:r w:rsidRPr="007476FD">
        <w:rPr>
          <w:rFonts w:ascii="David" w:hAnsi="David" w:cs="David" w:hint="cs"/>
          <w:sz w:val="24"/>
          <w:szCs w:val="24"/>
          <w:rtl/>
        </w:rPr>
        <w:t xml:space="preserve"> (עמ' 114 לסיכומי ההגנה).</w:t>
      </w:r>
      <w:r>
        <w:rPr>
          <w:rFonts w:ascii="David" w:hAnsi="David" w:cs="David" w:hint="cs"/>
          <w:sz w:val="24"/>
          <w:szCs w:val="24"/>
          <w:rtl/>
        </w:rPr>
        <w:t xml:space="preserve"> לכן העלתה ההגנה </w:t>
      </w:r>
      <w:r w:rsidRPr="007476FD">
        <w:rPr>
          <w:rFonts w:ascii="David" w:hAnsi="David" w:cs="David" w:hint="cs"/>
          <w:sz w:val="24"/>
          <w:szCs w:val="24"/>
          <w:rtl/>
        </w:rPr>
        <w:t xml:space="preserve">מספר תרחישים </w:t>
      </w:r>
      <w:r>
        <w:rPr>
          <w:rFonts w:ascii="David" w:hAnsi="David" w:cs="David" w:hint="cs"/>
          <w:sz w:val="24"/>
          <w:szCs w:val="24"/>
          <w:rtl/>
        </w:rPr>
        <w:t xml:space="preserve">והסברים </w:t>
      </w:r>
      <w:r w:rsidRPr="007476FD">
        <w:rPr>
          <w:rFonts w:ascii="David" w:hAnsi="David" w:cs="David" w:hint="cs"/>
          <w:sz w:val="24"/>
          <w:szCs w:val="24"/>
          <w:rtl/>
        </w:rPr>
        <w:t xml:space="preserve">חלופיים שהעלה מומחה הנשק מטעמה. </w:t>
      </w:r>
    </w:p>
    <w:p w:rsidR="00272CAC" w:rsidRPr="007476FD"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highlight w:val="yellow"/>
          <w:rtl/>
        </w:rPr>
      </w:pPr>
      <w:r>
        <w:rPr>
          <w:rFonts w:ascii="David" w:hAnsi="David" w:cs="David" w:hint="cs"/>
          <w:sz w:val="24"/>
          <w:szCs w:val="24"/>
          <w:rtl/>
        </w:rPr>
        <w:t xml:space="preserve">בנוסף, הוצגו על ידי ההגנה </w:t>
      </w:r>
      <w:r w:rsidRPr="007476FD">
        <w:rPr>
          <w:rFonts w:ascii="David" w:hAnsi="David" w:cs="David" w:hint="cs"/>
          <w:sz w:val="24"/>
          <w:szCs w:val="24"/>
          <w:rtl/>
        </w:rPr>
        <w:t xml:space="preserve">מקרים דומים </w:t>
      </w:r>
      <w:r>
        <w:rPr>
          <w:rFonts w:ascii="David" w:hAnsi="David" w:cs="David" w:hint="cs"/>
          <w:sz w:val="24"/>
          <w:szCs w:val="24"/>
          <w:rtl/>
        </w:rPr>
        <w:t xml:space="preserve">לשיטתה </w:t>
      </w:r>
      <w:r w:rsidRPr="007476FD">
        <w:rPr>
          <w:rFonts w:ascii="David" w:hAnsi="David" w:cs="David" w:hint="cs"/>
          <w:sz w:val="24"/>
          <w:szCs w:val="24"/>
          <w:rtl/>
        </w:rPr>
        <w:t xml:space="preserve">של "משחקים" בנשק בהם הורשעו הנאשמים בעבירת הריגה </w:t>
      </w:r>
      <w:r>
        <w:rPr>
          <w:rFonts w:ascii="David" w:hAnsi="David" w:cs="David" w:hint="cs"/>
          <w:sz w:val="24"/>
          <w:szCs w:val="24"/>
          <w:rtl/>
        </w:rPr>
        <w:t>ב</w:t>
      </w:r>
      <w:r w:rsidRPr="007476FD">
        <w:rPr>
          <w:rFonts w:ascii="David" w:hAnsi="David" w:cs="David" w:hint="cs"/>
          <w:sz w:val="24"/>
          <w:szCs w:val="24"/>
          <w:rtl/>
        </w:rPr>
        <w:t>יסוד נפשי של קלות דעת</w:t>
      </w:r>
      <w:r>
        <w:rPr>
          <w:rFonts w:ascii="David" w:hAnsi="David" w:cs="David" w:hint="cs"/>
          <w:sz w:val="24"/>
          <w:szCs w:val="24"/>
          <w:rtl/>
        </w:rPr>
        <w:t>,</w:t>
      </w:r>
      <w:r w:rsidRPr="007476FD">
        <w:rPr>
          <w:rFonts w:ascii="David" w:hAnsi="David" w:cs="David" w:hint="cs"/>
          <w:sz w:val="24"/>
          <w:szCs w:val="24"/>
          <w:rtl/>
        </w:rPr>
        <w:t xml:space="preserve"> או בעביר</w:t>
      </w:r>
      <w:r>
        <w:rPr>
          <w:rFonts w:ascii="David" w:hAnsi="David" w:cs="David" w:hint="cs"/>
          <w:sz w:val="24"/>
          <w:szCs w:val="24"/>
          <w:rtl/>
        </w:rPr>
        <w:t>ה</w:t>
      </w:r>
      <w:r w:rsidRPr="007476FD">
        <w:rPr>
          <w:rFonts w:ascii="David" w:hAnsi="David" w:cs="David" w:hint="cs"/>
          <w:sz w:val="24"/>
          <w:szCs w:val="24"/>
          <w:rtl/>
        </w:rPr>
        <w:t xml:space="preserve"> של גרימת מוות ברשלנות. </w:t>
      </w:r>
    </w:p>
    <w:p w:rsidR="00272CAC" w:rsidRDefault="00272CAC" w:rsidP="00272CAC">
      <w:pPr>
        <w:pStyle w:val="ac"/>
        <w:spacing w:after="0" w:line="360" w:lineRule="auto"/>
        <w:ind w:left="360"/>
        <w:jc w:val="both"/>
        <w:rPr>
          <w:rFonts w:ascii="David" w:hAnsi="David" w:cs="David"/>
          <w:sz w:val="24"/>
          <w:szCs w:val="24"/>
          <w:highlight w:val="yellow"/>
          <w:rtl/>
        </w:rPr>
      </w:pPr>
    </w:p>
    <w:p w:rsidR="00272CAC" w:rsidRPr="009A6DE6" w:rsidRDefault="00272CAC" w:rsidP="00272CAC">
      <w:pPr>
        <w:pStyle w:val="ac"/>
        <w:spacing w:after="0" w:line="360" w:lineRule="auto"/>
        <w:ind w:left="360"/>
        <w:jc w:val="both"/>
        <w:rPr>
          <w:rFonts w:ascii="David" w:hAnsi="David" w:cs="David"/>
          <w:b/>
          <w:bCs/>
          <w:sz w:val="28"/>
          <w:szCs w:val="28"/>
          <w:u w:val="single"/>
          <w:rtl/>
        </w:rPr>
      </w:pPr>
      <w:r w:rsidRPr="009A6DE6">
        <w:rPr>
          <w:rFonts w:ascii="David" w:hAnsi="David" w:cs="David" w:hint="cs"/>
          <w:b/>
          <w:bCs/>
          <w:sz w:val="28"/>
          <w:szCs w:val="28"/>
          <w:u w:val="single"/>
          <w:rtl/>
        </w:rPr>
        <w:t>פרק ב' - עיקר ראיות הצדדים</w:t>
      </w: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על רקע יריעת המחלוקת המצומצמת יחסית, נחסך הצורך בפריסה נרחבת של הראיות וניתוחן. הממצאים העיקריים שעלו מהראיות אליהן הופנינו ישמשו אותנו בעיקר כדי להגיע לממצאים באשר </w:t>
      </w:r>
      <w:r w:rsidRPr="00301430">
        <w:rPr>
          <w:rFonts w:ascii="David" w:hAnsi="David" w:cs="David" w:hint="cs"/>
          <w:sz w:val="24"/>
          <w:szCs w:val="24"/>
          <w:u w:val="single"/>
          <w:rtl/>
        </w:rPr>
        <w:t xml:space="preserve">לשאלה המרכזית העומדת על הפרק, והיא מה היסוד הנפשי שהוכח מעבר לכל ספק סביר </w:t>
      </w:r>
      <w:r w:rsidRPr="00301430">
        <w:rPr>
          <w:rFonts w:ascii="David" w:hAnsi="David" w:cs="David"/>
          <w:sz w:val="24"/>
          <w:szCs w:val="24"/>
          <w:u w:val="single"/>
          <w:rtl/>
        </w:rPr>
        <w:t>–</w:t>
      </w:r>
      <w:r w:rsidRPr="00301430">
        <w:rPr>
          <w:rFonts w:ascii="David" w:hAnsi="David" w:cs="David" w:hint="cs"/>
          <w:sz w:val="24"/>
          <w:szCs w:val="24"/>
          <w:u w:val="single"/>
          <w:rtl/>
        </w:rPr>
        <w:t xml:space="preserve"> קלות דעת או אדישות</w:t>
      </w:r>
      <w:r>
        <w:rPr>
          <w:rFonts w:ascii="David" w:hAnsi="David" w:cs="David" w:hint="cs"/>
          <w:sz w:val="24"/>
          <w:szCs w:val="24"/>
          <w:rtl/>
        </w:rPr>
        <w:t xml:space="preserve">. לפני שנעשה כן, ננסה לקבוע ממצאים באשר להתרחשות המדויקת עובר לירי; ובמילים אחרות - מה היו הפעולות אותן ביצע הנאשם באקדח אותו החזיק, ומהן המשמעויות הנגזרות מכך לעניין היסוד הנפשי. </w:t>
      </w: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  </w:t>
      </w: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אין מחלוקת כי מיד לאחר הירי, שהתרחש בסביבות השעה 22:00, הניח הנאשם את האקדח על בטנו של המנוח ולאחר מכן רץ חזרה למועדון, מרחק של כ 15 מטרים, שם היו עדיין כל השוטרים שנכחו במסדר הערב שהתקיים זמן קצר לפני כן. הנאשם נכנס למועדון והזעיק עזרה, כשהוא מציין בפני הנוכחים ש"</w:t>
      </w:r>
      <w:r w:rsidRPr="00EA0F5A">
        <w:rPr>
          <w:rFonts w:ascii="David" w:hAnsi="David" w:cs="David" w:hint="cs"/>
          <w:b/>
          <w:bCs/>
          <w:sz w:val="24"/>
          <w:szCs w:val="24"/>
          <w:rtl/>
        </w:rPr>
        <w:t>נעים ירה בעצמו .."</w:t>
      </w:r>
      <w:r>
        <w:rPr>
          <w:rFonts w:ascii="David" w:hAnsi="David" w:cs="David" w:hint="cs"/>
          <w:sz w:val="24"/>
          <w:szCs w:val="24"/>
          <w:rtl/>
        </w:rPr>
        <w:t>; או ש "</w:t>
      </w:r>
      <w:r w:rsidRPr="00752891">
        <w:rPr>
          <w:rFonts w:ascii="David" w:hAnsi="David" w:cs="David" w:hint="cs"/>
          <w:b/>
          <w:bCs/>
          <w:sz w:val="24"/>
          <w:szCs w:val="24"/>
          <w:rtl/>
        </w:rPr>
        <w:t>נעים התאבד</w:t>
      </w:r>
      <w:r>
        <w:rPr>
          <w:rFonts w:ascii="David" w:hAnsi="David" w:cs="David" w:hint="cs"/>
          <w:sz w:val="24"/>
          <w:szCs w:val="24"/>
          <w:rtl/>
        </w:rPr>
        <w:t xml:space="preserve">" (ר' בנדון עדות השוטר סוועאד מיום 17.2.22, עמ' 422 שורה 19; עדות השוטרת ענבל מיום 12.12.21 עמ' 353 שורה 24; ועדות השוטרת רז מיום 6.10.22 עמ' 639 שורה 28). </w:t>
      </w:r>
    </w:p>
    <w:p w:rsidR="00272CAC" w:rsidRPr="0018429B"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חלק מהנוכחים תיארו כי בתחילה סברו שמדובר ב"מתיחה", והדבר אף הוביל את השוטרת רז לצלם את כניסתה לחדר אך מכשיר הטלפון נפל מידה כשהבחינה במנוח (ר' הסרטון ת/79א). כל </w:t>
      </w:r>
      <w:r>
        <w:rPr>
          <w:rFonts w:ascii="David" w:hAnsi="David" w:cs="David" w:hint="cs"/>
          <w:sz w:val="24"/>
          <w:szCs w:val="24"/>
          <w:rtl/>
        </w:rPr>
        <w:lastRenderedPageBreak/>
        <w:t xml:space="preserve">העדים מסרו את אותו תיאור ולפיו כשנכנסו לחדר הם הבחינו במנוח שוכב על מיטתו וירוי בראשו.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המנוח שכב בקומה הראשונה במיטת קומותיים; גופו היה מכוסה בשמיכה עד אזור החזה; כשעל בית החזה שלו ומעל השמיכה הונח ה-אקדח; ויד ימין שלו באזור הבטן. מנח הגופה היה כזה שראשו של המנוח היה לכוון הקיר. תיעוד של המצב בו נמצא המנוח ניתן למצוא בסרטון מצלמת הגוף של השוטרת שחר פרץ שהגיעה עם עוד שוטרים מתחנת עכו הצמודה לבסיס, זמן קצר לאחר שחבריו של המנוח נכנסו לשם והזעיקו עזרה (הסרטון ת/19א', תמונה מתוך הסרטון ת/73).</w:t>
      </w:r>
    </w:p>
    <w:p w:rsidR="00272CAC" w:rsidRPr="009B7853" w:rsidRDefault="00272CAC" w:rsidP="00272CAC">
      <w:pPr>
        <w:pStyle w:val="ac"/>
        <w:rPr>
          <w:rFonts w:ascii="David" w:hAnsi="David" w:cs="David"/>
          <w:sz w:val="24"/>
          <w:szCs w:val="24"/>
          <w:rtl/>
        </w:rPr>
      </w:pPr>
    </w:p>
    <w:p w:rsidR="00272CAC" w:rsidRPr="009B7853" w:rsidRDefault="00272CAC" w:rsidP="00272CAC">
      <w:pPr>
        <w:pStyle w:val="ac"/>
        <w:numPr>
          <w:ilvl w:val="0"/>
          <w:numId w:val="14"/>
        </w:numPr>
        <w:spacing w:after="0" w:line="360" w:lineRule="auto"/>
        <w:jc w:val="both"/>
        <w:rPr>
          <w:rFonts w:ascii="David" w:hAnsi="David" w:cs="David"/>
          <w:sz w:val="24"/>
          <w:szCs w:val="24"/>
          <w:rtl/>
        </w:rPr>
      </w:pPr>
      <w:r w:rsidRPr="009B7853">
        <w:rPr>
          <w:rFonts w:ascii="David" w:hAnsi="David" w:cs="David" w:hint="cs"/>
          <w:sz w:val="24"/>
          <w:szCs w:val="24"/>
          <w:rtl/>
        </w:rPr>
        <w:t xml:space="preserve">המפקד התורן </w:t>
      </w:r>
      <w:r w:rsidRPr="009B7853">
        <w:rPr>
          <w:rFonts w:ascii="David" w:hAnsi="David" w:cs="David" w:hint="cs"/>
          <w:b/>
          <w:bCs/>
          <w:sz w:val="24"/>
          <w:szCs w:val="24"/>
          <w:rtl/>
        </w:rPr>
        <w:t xml:space="preserve">חיים אדרי </w:t>
      </w:r>
      <w:r w:rsidRPr="009B7853">
        <w:rPr>
          <w:rFonts w:ascii="David" w:hAnsi="David" w:cs="David" w:hint="cs"/>
          <w:sz w:val="24"/>
          <w:szCs w:val="24"/>
          <w:rtl/>
        </w:rPr>
        <w:t xml:space="preserve">שנכנס ראשון לחדר תיאר כי </w:t>
      </w:r>
      <w:r w:rsidRPr="009B7853">
        <w:rPr>
          <w:rFonts w:ascii="David" w:hAnsi="David" w:cs="David" w:hint="cs"/>
          <w:sz w:val="24"/>
          <w:szCs w:val="24"/>
          <w:u w:val="single"/>
          <w:rtl/>
        </w:rPr>
        <w:t>הרים את האקדח באמצעות בגד שמצא במקום והעבירו, ללא שביצע בו פעולה כלשהי, למיטה העליונה</w:t>
      </w:r>
      <w:r w:rsidRPr="009B7853">
        <w:rPr>
          <w:rFonts w:ascii="David" w:hAnsi="David" w:cs="David" w:hint="cs"/>
          <w:sz w:val="24"/>
          <w:szCs w:val="24"/>
          <w:rtl/>
        </w:rPr>
        <w:t xml:space="preserve">, שלא היה בה מזרן אלא רק לוח עץ. אדרי הוסיף כי הוא </w:t>
      </w:r>
      <w:r w:rsidRPr="009B7853">
        <w:rPr>
          <w:rFonts w:ascii="David" w:hAnsi="David" w:cs="David" w:hint="cs"/>
          <w:sz w:val="24"/>
          <w:szCs w:val="24"/>
          <w:u w:val="single"/>
          <w:rtl/>
        </w:rPr>
        <w:t xml:space="preserve">הבחין על אותו לוח עץ </w:t>
      </w:r>
      <w:r w:rsidRPr="009B7853">
        <w:rPr>
          <w:rFonts w:ascii="David" w:hAnsi="David" w:cs="David" w:hint="cs"/>
          <w:b/>
          <w:bCs/>
          <w:sz w:val="24"/>
          <w:szCs w:val="24"/>
          <w:u w:val="single"/>
          <w:rtl/>
        </w:rPr>
        <w:t>בתרמיל</w:t>
      </w:r>
      <w:r w:rsidRPr="009B7853">
        <w:rPr>
          <w:rFonts w:ascii="David" w:hAnsi="David" w:cs="David" w:hint="cs"/>
          <w:sz w:val="24"/>
          <w:szCs w:val="24"/>
          <w:u w:val="single"/>
          <w:rtl/>
        </w:rPr>
        <w:t xml:space="preserve"> מונח שם צמוד לקיר</w:t>
      </w:r>
      <w:r w:rsidRPr="009B7853">
        <w:rPr>
          <w:rFonts w:ascii="David" w:hAnsi="David" w:cs="David" w:hint="cs"/>
          <w:sz w:val="24"/>
          <w:szCs w:val="24"/>
          <w:rtl/>
        </w:rPr>
        <w:t xml:space="preserve"> (ר' בנדון תצלומי המעבדה הניידת בנוגע למיקום האקדח והתרמיל  - תצלומים 9 ו 10 בת/120). אדרי אף בדק את מצבו של המנוח וקיבל הנחיות טלפוניות ממד"א, וזאת עד הגעת צוות רפואי.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כל העדים לעיל מסרו גרסה תואמת למעט הבדלים שוליים שאינם משמעותיים. נוכח יריעת המחלוקת והעובדה שמרבית הפרטים שמסרו אינה במחלוקת, אציין אך בקצרה כי עדות העדים שצוינו לעיל, שכללה גם תיאורים אודות מעשיו של הנאשם באישום השני, היתה אמינה ומהימנה.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לגבי מה שהתרחש לאחר שהנוכחים יצאו מהחדר, אפנה לעדותה של השוטרת ענבל </w:t>
      </w:r>
      <w:r w:rsidRPr="00F95038">
        <w:rPr>
          <w:rFonts w:ascii="David" w:hAnsi="David" w:cs="David" w:hint="cs"/>
          <w:sz w:val="24"/>
          <w:szCs w:val="24"/>
          <w:rtl/>
        </w:rPr>
        <w:t>(עדות מיום</w:t>
      </w:r>
      <w:r>
        <w:rPr>
          <w:rFonts w:ascii="David" w:hAnsi="David" w:cs="David" w:hint="cs"/>
          <w:sz w:val="24"/>
          <w:szCs w:val="24"/>
          <w:rtl/>
        </w:rPr>
        <w:t xml:space="preserve"> 12.12.21) שם תיארה שהנאשם ביקש ממנה אלכוג'ל ואף דרש שתשפוך על ידיו חומר בכמות מופרזת, בשפשפו את ידיו ואת אמותיו באמצעות החומר. </w:t>
      </w:r>
    </w:p>
    <w:p w:rsidR="00272CAC" w:rsidRPr="00450EF3" w:rsidRDefault="00272CAC" w:rsidP="00272CAC">
      <w:pPr>
        <w:pStyle w:val="ac"/>
        <w:rPr>
          <w:rFonts w:ascii="David" w:hAnsi="David" w:cs="David"/>
          <w:sz w:val="24"/>
          <w:szCs w:val="24"/>
          <w:rtl/>
        </w:rPr>
      </w:pPr>
    </w:p>
    <w:p w:rsidR="00272CAC" w:rsidRPr="00C03DD5" w:rsidRDefault="00272CAC" w:rsidP="00272CAC">
      <w:pPr>
        <w:pStyle w:val="ac"/>
        <w:numPr>
          <w:ilvl w:val="0"/>
          <w:numId w:val="14"/>
        </w:numPr>
        <w:spacing w:after="0" w:line="360" w:lineRule="auto"/>
        <w:jc w:val="both"/>
        <w:rPr>
          <w:rFonts w:ascii="David" w:hAnsi="David" w:cs="David"/>
          <w:sz w:val="24"/>
          <w:szCs w:val="24"/>
        </w:rPr>
      </w:pPr>
      <w:r w:rsidRPr="00C03DD5">
        <w:rPr>
          <w:rFonts w:ascii="David" w:hAnsi="David" w:cs="David" w:hint="cs"/>
          <w:b/>
          <w:bCs/>
          <w:sz w:val="24"/>
          <w:szCs w:val="24"/>
          <w:rtl/>
        </w:rPr>
        <w:t xml:space="preserve">נפנה כעת לממצאים הפורנזיים מהזירה עצמה. </w:t>
      </w:r>
      <w:r w:rsidRPr="00C03DD5">
        <w:rPr>
          <w:rFonts w:ascii="David" w:hAnsi="David" w:cs="David" w:hint="cs"/>
          <w:sz w:val="24"/>
          <w:szCs w:val="24"/>
          <w:rtl/>
        </w:rPr>
        <w:t xml:space="preserve">המאשימה העידה מספר שוטרים שהגיעו סמוך לאחר האירוע לחדר בו נורה המנוח, ניסו לתת לו טיפול ראשוני, גבו גרסאות ראשוניות מהעדים וכן </w:t>
      </w:r>
      <w:r w:rsidRPr="00C03DD5">
        <w:rPr>
          <w:rFonts w:ascii="David" w:hAnsi="David" w:cs="David" w:hint="cs"/>
          <w:sz w:val="24"/>
          <w:szCs w:val="24"/>
          <w:u w:val="single"/>
          <w:rtl/>
        </w:rPr>
        <w:t>שמרו על הזירה עד להגעת צוות המעבדה הניידת של מז"פ למקום</w:t>
      </w:r>
      <w:r w:rsidRPr="00C03DD5">
        <w:rPr>
          <w:rFonts w:ascii="David" w:hAnsi="David" w:cs="David" w:hint="cs"/>
          <w:sz w:val="24"/>
          <w:szCs w:val="24"/>
          <w:rtl/>
        </w:rPr>
        <w:t xml:space="preserve">. מטעמי היעדר רלוונטיות לא ארחיב בנדון. </w:t>
      </w:r>
    </w:p>
    <w:p w:rsidR="00272CAC" w:rsidRDefault="00272CAC" w:rsidP="00272CAC">
      <w:pPr>
        <w:pStyle w:val="ac"/>
        <w:spacing w:after="0" w:line="360" w:lineRule="auto"/>
        <w:ind w:left="360"/>
        <w:jc w:val="both"/>
        <w:rPr>
          <w:rFonts w:ascii="David" w:hAnsi="David" w:cs="David"/>
          <w:sz w:val="24"/>
          <w:szCs w:val="24"/>
        </w:rPr>
      </w:pPr>
    </w:p>
    <w:p w:rsidR="00272CAC" w:rsidRPr="009B7853" w:rsidRDefault="00272CAC" w:rsidP="00272CAC">
      <w:pPr>
        <w:pStyle w:val="ac"/>
        <w:numPr>
          <w:ilvl w:val="0"/>
          <w:numId w:val="14"/>
        </w:numPr>
        <w:spacing w:after="0" w:line="360" w:lineRule="auto"/>
        <w:jc w:val="both"/>
        <w:rPr>
          <w:rFonts w:ascii="David" w:hAnsi="David" w:cs="David"/>
          <w:sz w:val="24"/>
          <w:szCs w:val="24"/>
          <w:rtl/>
        </w:rPr>
      </w:pPr>
      <w:r w:rsidRPr="009B7853">
        <w:rPr>
          <w:rFonts w:ascii="David" w:hAnsi="David" w:cs="David" w:hint="cs"/>
          <w:sz w:val="24"/>
          <w:szCs w:val="24"/>
          <w:rtl/>
        </w:rPr>
        <w:t xml:space="preserve">סמוך לאחר האירוע בסביבות השעה 23:45, הגיע למקום צוות המעבדה הניידת של מז"פ - </w:t>
      </w:r>
      <w:r w:rsidRPr="009B7853">
        <w:rPr>
          <w:rFonts w:ascii="David" w:hAnsi="David" w:cs="David" w:hint="cs"/>
          <w:b/>
          <w:bCs/>
          <w:sz w:val="24"/>
          <w:szCs w:val="24"/>
          <w:rtl/>
        </w:rPr>
        <w:t>רפ"ק ירון חירובסקי</w:t>
      </w:r>
      <w:r w:rsidRPr="009B7853">
        <w:rPr>
          <w:rFonts w:ascii="David" w:hAnsi="David" w:cs="David" w:hint="cs"/>
          <w:sz w:val="24"/>
          <w:szCs w:val="24"/>
          <w:rtl/>
        </w:rPr>
        <w:t xml:space="preserve"> וכן המתמחה </w:t>
      </w:r>
      <w:r w:rsidRPr="009B7853">
        <w:rPr>
          <w:rFonts w:ascii="David" w:hAnsi="David" w:cs="David" w:hint="cs"/>
          <w:b/>
          <w:bCs/>
          <w:sz w:val="24"/>
          <w:szCs w:val="24"/>
          <w:rtl/>
        </w:rPr>
        <w:t>רפ"ק איתי מקובסקי</w:t>
      </w:r>
      <w:r w:rsidRPr="009B7853">
        <w:rPr>
          <w:rFonts w:ascii="David" w:hAnsi="David" w:cs="David" w:hint="cs"/>
          <w:sz w:val="24"/>
          <w:szCs w:val="24"/>
          <w:rtl/>
        </w:rPr>
        <w:t xml:space="preserve">. השניים קיבלו דיווח אודות חשד להתאבדות אך תוך זמן קצר הגיעו למסקנה כי ככל הנראה אין הדבר כך. צוות המעבדה הניידת קיבל את הזירה כאשר האקדח היה מונח על המיטה העליונה, במצב בו הניח אותו השוטר חיים אדרי כמתואר לעיל. </w:t>
      </w:r>
    </w:p>
    <w:p w:rsidR="00272CAC" w:rsidRDefault="00272CAC" w:rsidP="00272CAC">
      <w:pPr>
        <w:pStyle w:val="ac"/>
        <w:spacing w:after="0" w:line="360" w:lineRule="auto"/>
        <w:ind w:left="360"/>
        <w:jc w:val="both"/>
        <w:rPr>
          <w:rFonts w:ascii="David" w:hAnsi="David" w:cs="David"/>
          <w:sz w:val="24"/>
          <w:szCs w:val="24"/>
          <w:rtl/>
        </w:rPr>
      </w:pPr>
    </w:p>
    <w:p w:rsidR="00272CAC" w:rsidRPr="0079704E" w:rsidRDefault="00272CAC" w:rsidP="00272CAC">
      <w:pPr>
        <w:pStyle w:val="ac"/>
        <w:numPr>
          <w:ilvl w:val="0"/>
          <w:numId w:val="14"/>
        </w:numPr>
        <w:spacing w:after="0" w:line="360" w:lineRule="auto"/>
        <w:jc w:val="both"/>
        <w:rPr>
          <w:rFonts w:ascii="David" w:hAnsi="David" w:cs="David"/>
          <w:sz w:val="24"/>
          <w:szCs w:val="24"/>
        </w:rPr>
      </w:pPr>
      <w:r w:rsidRPr="0018429B">
        <w:rPr>
          <w:rFonts w:ascii="David" w:hAnsi="David" w:cs="David" w:hint="cs"/>
          <w:b/>
          <w:bCs/>
          <w:sz w:val="24"/>
          <w:szCs w:val="24"/>
          <w:rtl/>
        </w:rPr>
        <w:lastRenderedPageBreak/>
        <w:t>מי שתפס בפועל את האקדח וביצע בו את הפעולות שיתוארו להלן היה רפ"ק מקובסקי.</w:t>
      </w:r>
      <w:r>
        <w:rPr>
          <w:rFonts w:ascii="David" w:hAnsi="David" w:cs="David" w:hint="cs"/>
          <w:sz w:val="24"/>
          <w:szCs w:val="24"/>
          <w:rtl/>
        </w:rPr>
        <w:t xml:space="preserve"> הוא תיאר (ר' עדותו מיום 14.2.22) כי נאמר להם שהאקדח הועבר מגופת המנוח אל המיטה העליונה. רפ"ק מקובסקי נטל את הנשק מהמיטה העליונה ופרק אותו. פעולת הפריקה לא תועדה בווידאו או באמצעי טכני אחר, אך עיקריה הובאו בחוות הדעת של רפ"ק חירובסקי </w:t>
      </w:r>
      <w:r w:rsidRPr="0079704E">
        <w:rPr>
          <w:rFonts w:ascii="David" w:hAnsi="David" w:cs="David" w:hint="cs"/>
          <w:sz w:val="24"/>
          <w:szCs w:val="24"/>
          <w:rtl/>
        </w:rPr>
        <w:t>ת/129)</w:t>
      </w:r>
      <w:r>
        <w:rPr>
          <w:rFonts w:ascii="David" w:hAnsi="David" w:cs="David" w:hint="cs"/>
          <w:sz w:val="24"/>
          <w:szCs w:val="24"/>
          <w:rtl/>
        </w:rPr>
        <w:t>.</w:t>
      </w:r>
    </w:p>
    <w:p w:rsidR="00272CAC" w:rsidRPr="0018429B"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העד תיאר כי כאשר נטל את הנשק לידיו, </w:t>
      </w:r>
      <w:r w:rsidRPr="0018429B">
        <w:rPr>
          <w:rFonts w:ascii="David" w:hAnsi="David" w:cs="David" w:hint="cs"/>
          <w:b/>
          <w:bCs/>
          <w:sz w:val="24"/>
          <w:szCs w:val="24"/>
          <w:u w:val="single"/>
          <w:rtl/>
        </w:rPr>
        <w:t>המחסנית</w:t>
      </w:r>
      <w:r>
        <w:rPr>
          <w:rFonts w:ascii="David" w:hAnsi="David" w:cs="David" w:hint="cs"/>
          <w:sz w:val="24"/>
          <w:szCs w:val="24"/>
          <w:rtl/>
        </w:rPr>
        <w:t xml:space="preserve"> היתה במצב "הכנס" (עמ' 419 שורה 30). עם זאת, בהמשך הוא ציין ש:"</w:t>
      </w:r>
      <w:r w:rsidRPr="0018429B">
        <w:rPr>
          <w:rFonts w:ascii="David" w:hAnsi="David" w:cs="David" w:hint="cs"/>
          <w:b/>
          <w:bCs/>
          <w:sz w:val="24"/>
          <w:szCs w:val="24"/>
          <w:u w:val="single"/>
          <w:rtl/>
        </w:rPr>
        <w:t>למיטב זיכרוני</w:t>
      </w:r>
      <w:r w:rsidRPr="0018429B">
        <w:rPr>
          <w:rFonts w:ascii="David" w:hAnsi="David" w:cs="David" w:hint="cs"/>
          <w:b/>
          <w:bCs/>
          <w:sz w:val="24"/>
          <w:szCs w:val="24"/>
          <w:rtl/>
        </w:rPr>
        <w:t xml:space="preserve"> לא היתה משוחררת, לחצתי על הדק שחרור המחסנית והוצאתי את המחסנית מהאקדח</w:t>
      </w:r>
      <w:r w:rsidRPr="0018429B">
        <w:rPr>
          <w:rFonts w:ascii="David" w:hAnsi="David" w:cs="David" w:hint="cs"/>
          <w:sz w:val="24"/>
          <w:szCs w:val="24"/>
          <w:rtl/>
        </w:rPr>
        <w:t>" (עמ' 426 שורה 9)</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Pr="0018429B" w:rsidRDefault="00272CAC" w:rsidP="00272CAC">
      <w:pPr>
        <w:pStyle w:val="ac"/>
        <w:spacing w:after="0" w:line="360" w:lineRule="auto"/>
        <w:ind w:left="360"/>
        <w:jc w:val="both"/>
        <w:rPr>
          <w:rFonts w:ascii="David" w:hAnsi="David" w:cs="David"/>
          <w:sz w:val="24"/>
          <w:szCs w:val="24"/>
          <w:rtl/>
        </w:rPr>
      </w:pPr>
      <w:r w:rsidRPr="0018429B">
        <w:rPr>
          <w:rFonts w:ascii="David" w:hAnsi="David" w:cs="David" w:hint="cs"/>
          <w:sz w:val="24"/>
          <w:szCs w:val="24"/>
          <w:rtl/>
        </w:rPr>
        <w:t>בהמשך</w:t>
      </w:r>
      <w:r>
        <w:rPr>
          <w:rFonts w:ascii="David" w:hAnsi="David" w:cs="David" w:hint="cs"/>
          <w:sz w:val="24"/>
          <w:szCs w:val="24"/>
          <w:rtl/>
        </w:rPr>
        <w:t xml:space="preserve"> הוא מסר את הדברים הבאים</w:t>
      </w:r>
      <w:r w:rsidRPr="0018429B">
        <w:rPr>
          <w:rFonts w:ascii="David" w:hAnsi="David" w:cs="David" w:hint="cs"/>
          <w:sz w:val="24"/>
          <w:szCs w:val="24"/>
          <w:rtl/>
        </w:rPr>
        <w:t>:</w:t>
      </w:r>
      <w:r>
        <w:rPr>
          <w:rFonts w:ascii="David" w:hAnsi="David" w:cs="David" w:hint="cs"/>
          <w:sz w:val="24"/>
          <w:szCs w:val="24"/>
          <w:rtl/>
        </w:rPr>
        <w:t xml:space="preserve"> </w:t>
      </w:r>
      <w:r w:rsidRPr="0018429B">
        <w:rPr>
          <w:rFonts w:ascii="David" w:hAnsi="David" w:cs="David" w:hint="cs"/>
          <w:sz w:val="24"/>
          <w:szCs w:val="24"/>
          <w:rtl/>
        </w:rPr>
        <w:t>"</w:t>
      </w:r>
      <w:r w:rsidRPr="0018429B">
        <w:rPr>
          <w:rFonts w:ascii="David" w:hAnsi="David" w:cs="David"/>
          <w:b/>
          <w:bCs/>
          <w:sz w:val="24"/>
          <w:szCs w:val="24"/>
          <w:u w:val="single"/>
          <w:rtl/>
        </w:rPr>
        <w:t>אני לא זוכר אם היא היתה הדוקה בפנים</w:t>
      </w:r>
      <w:r w:rsidRPr="0018429B">
        <w:rPr>
          <w:rFonts w:ascii="David" w:hAnsi="David" w:cs="David"/>
          <w:b/>
          <w:bCs/>
          <w:sz w:val="24"/>
          <w:szCs w:val="24"/>
          <w:rtl/>
        </w:rPr>
        <w:t>. אני זוכר שלקחתי את האקדח ממקום אחד בחדר למקום אחר בחדר, החזקתי את האקדח המחסנית לא נפלה. אני מניח אני רק מניח, שאם היא לא היתה תפוסה בעצר בלשונית בתפס שחרור המחסנית, אני מניח שהיא היתה נופלת. זה מה שקורה באקדח שלי. כי בעוד כל עוד היא מלאה כדורים היא לא היתה ריקה, לקחתי אותה מצד אחד בחדר, היא היתה על המיט</w:t>
      </w:r>
      <w:r>
        <w:rPr>
          <w:rFonts w:ascii="David" w:hAnsi="David" w:cs="David" w:hint="cs"/>
          <w:b/>
          <w:bCs/>
          <w:sz w:val="24"/>
          <w:szCs w:val="24"/>
          <w:rtl/>
        </w:rPr>
        <w:t>ה</w:t>
      </w:r>
      <w:r w:rsidRPr="0018429B">
        <w:rPr>
          <w:rFonts w:ascii="David" w:hAnsi="David" w:cs="David"/>
          <w:b/>
          <w:bCs/>
          <w:sz w:val="24"/>
          <w:szCs w:val="24"/>
          <w:rtl/>
        </w:rPr>
        <w:t xml:space="preserve"> מצד מזרח והעלינו אותה למקום אחר שהפ</w:t>
      </w:r>
      <w:r>
        <w:rPr>
          <w:rFonts w:ascii="David" w:hAnsi="David" w:cs="David" w:hint="cs"/>
          <w:b/>
          <w:bCs/>
          <w:sz w:val="24"/>
          <w:szCs w:val="24"/>
          <w:rtl/>
        </w:rPr>
        <w:t xml:space="preserve">ריקה </w:t>
      </w:r>
      <w:r w:rsidRPr="0018429B">
        <w:rPr>
          <w:rFonts w:ascii="David" w:hAnsi="David" w:cs="David"/>
          <w:b/>
          <w:bCs/>
          <w:sz w:val="24"/>
          <w:szCs w:val="24"/>
          <w:rtl/>
        </w:rPr>
        <w:t>תהא בטוחה לכיוון הקיר הצפוני. לחצתי על עצר המחלק ואז הוצאתי את המחסנית</w:t>
      </w:r>
      <w:r w:rsidRPr="0018429B">
        <w:rPr>
          <w:rFonts w:ascii="David" w:hAnsi="David" w:cs="David" w:hint="cs"/>
          <w:sz w:val="24"/>
          <w:szCs w:val="24"/>
          <w:rtl/>
        </w:rPr>
        <w:t>" (שם, שורות 22-28)</w:t>
      </w:r>
      <w:r w:rsidRPr="0018429B">
        <w:rPr>
          <w:rFonts w:ascii="David" w:hAnsi="David" w:cs="David"/>
          <w:sz w:val="24"/>
          <w:szCs w:val="24"/>
          <w:rtl/>
        </w:rPr>
        <w:t>.</w:t>
      </w:r>
    </w:p>
    <w:p w:rsidR="00272CAC" w:rsidRDefault="00272CAC" w:rsidP="00272CAC">
      <w:pPr>
        <w:pStyle w:val="ac"/>
        <w:spacing w:after="0" w:line="360" w:lineRule="auto"/>
        <w:ind w:left="360"/>
        <w:jc w:val="both"/>
        <w:rPr>
          <w:rtl/>
        </w:rPr>
      </w:pPr>
    </w:p>
    <w:p w:rsidR="00272CAC" w:rsidRDefault="00272CAC" w:rsidP="00272CAC">
      <w:pPr>
        <w:pStyle w:val="ac"/>
        <w:spacing w:after="0" w:line="360" w:lineRule="auto"/>
        <w:ind w:left="360"/>
        <w:jc w:val="both"/>
        <w:rPr>
          <w:rFonts w:ascii="David" w:hAnsi="David" w:cs="David"/>
          <w:sz w:val="24"/>
          <w:szCs w:val="24"/>
          <w:rtl/>
        </w:rPr>
      </w:pPr>
      <w:r w:rsidRPr="0018429B">
        <w:rPr>
          <w:rFonts w:ascii="David" w:hAnsi="David" w:cs="David" w:hint="cs"/>
          <w:b/>
          <w:bCs/>
          <w:sz w:val="24"/>
          <w:szCs w:val="24"/>
          <w:u w:val="single"/>
          <w:rtl/>
        </w:rPr>
        <w:t>לגבי מצב ההדק</w:t>
      </w:r>
      <w:r>
        <w:rPr>
          <w:rFonts w:ascii="David" w:hAnsi="David" w:cs="David" w:hint="cs"/>
          <w:sz w:val="24"/>
          <w:szCs w:val="24"/>
          <w:rtl/>
        </w:rPr>
        <w:t xml:space="preserve"> בעת שהעד ניגש לאקדח, זה היה </w:t>
      </w:r>
      <w:r w:rsidRPr="0079704E">
        <w:rPr>
          <w:rFonts w:ascii="David" w:hAnsi="David" w:cs="David" w:hint="cs"/>
          <w:sz w:val="24"/>
          <w:szCs w:val="24"/>
          <w:u w:val="single"/>
          <w:rtl/>
        </w:rPr>
        <w:t>במצב קדמי</w:t>
      </w:r>
      <w:r>
        <w:rPr>
          <w:rFonts w:ascii="David" w:hAnsi="David" w:cs="David" w:hint="cs"/>
          <w:sz w:val="24"/>
          <w:szCs w:val="24"/>
          <w:rtl/>
        </w:rPr>
        <w:t xml:space="preserve"> (עמ' 419 שורה 30), והעד הסביר כי הדבר לימד על פני הדברים כי הנשק היה </w:t>
      </w:r>
      <w:r w:rsidRPr="0079704E">
        <w:rPr>
          <w:rFonts w:ascii="David" w:hAnsi="David" w:cs="David" w:hint="cs"/>
          <w:sz w:val="24"/>
          <w:szCs w:val="24"/>
          <w:u w:val="single"/>
          <w:rtl/>
        </w:rPr>
        <w:t>דרוך</w:t>
      </w:r>
      <w:r>
        <w:rPr>
          <w:rFonts w:ascii="David" w:hAnsi="David" w:cs="David" w:hint="cs"/>
          <w:sz w:val="24"/>
          <w:szCs w:val="24"/>
          <w:rtl/>
        </w:rPr>
        <w:t>.</w:t>
      </w:r>
    </w:p>
    <w:p w:rsidR="00272CAC" w:rsidRDefault="00272CAC" w:rsidP="00272CAC">
      <w:pPr>
        <w:pStyle w:val="ac"/>
        <w:spacing w:after="0" w:line="360" w:lineRule="auto"/>
        <w:ind w:left="360"/>
        <w:jc w:val="both"/>
        <w:rPr>
          <w:rFonts w:ascii="David" w:hAnsi="David" w:cs="David"/>
          <w:sz w:val="24"/>
          <w:szCs w:val="24"/>
          <w:rtl/>
        </w:rPr>
      </w:pPr>
    </w:p>
    <w:p w:rsidR="00272CAC" w:rsidRPr="00840C36"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w:t>
      </w:r>
      <w:r w:rsidRPr="00840C36">
        <w:rPr>
          <w:rFonts w:ascii="David" w:hAnsi="David" w:cs="David" w:hint="cs"/>
          <w:sz w:val="24"/>
          <w:szCs w:val="24"/>
          <w:rtl/>
        </w:rPr>
        <w:t xml:space="preserve">לא היתה מחלוקת ונושא זה הובהר על ידי מומחה ההגנה כפי שיפורט להלן, כי כאשר האקדח אינו דרוך ההדק נמצא במצב </w:t>
      </w:r>
      <w:r>
        <w:rPr>
          <w:rFonts w:ascii="David" w:hAnsi="David" w:cs="David" w:hint="cs"/>
          <w:sz w:val="24"/>
          <w:szCs w:val="24"/>
          <w:rtl/>
        </w:rPr>
        <w:t>"</w:t>
      </w:r>
      <w:r w:rsidRPr="00840C36">
        <w:rPr>
          <w:rFonts w:ascii="David" w:hAnsi="David" w:cs="David" w:hint="cs"/>
          <w:sz w:val="24"/>
          <w:szCs w:val="24"/>
          <w:rtl/>
        </w:rPr>
        <w:t>אחורי</w:t>
      </w:r>
      <w:r>
        <w:rPr>
          <w:rFonts w:ascii="David" w:hAnsi="David" w:cs="David" w:hint="cs"/>
          <w:sz w:val="24"/>
          <w:szCs w:val="24"/>
          <w:rtl/>
        </w:rPr>
        <w:t>"</w:t>
      </w:r>
      <w:r w:rsidRPr="00840C36">
        <w:rPr>
          <w:rFonts w:ascii="David" w:hAnsi="David" w:cs="David" w:hint="cs"/>
          <w:sz w:val="24"/>
          <w:szCs w:val="24"/>
          <w:rtl/>
        </w:rPr>
        <w:t xml:space="preserve">; וכשהאקדח דרוך, ההדק נמצא במצב  </w:t>
      </w:r>
      <w:r>
        <w:rPr>
          <w:rFonts w:ascii="David" w:hAnsi="David" w:cs="David" w:hint="cs"/>
          <w:sz w:val="24"/>
          <w:szCs w:val="24"/>
          <w:rtl/>
        </w:rPr>
        <w:t>"</w:t>
      </w:r>
      <w:r w:rsidRPr="00840C36">
        <w:rPr>
          <w:rFonts w:ascii="David" w:hAnsi="David" w:cs="David" w:hint="cs"/>
          <w:sz w:val="24"/>
          <w:szCs w:val="24"/>
          <w:rtl/>
        </w:rPr>
        <w:t>קדמי</w:t>
      </w:r>
      <w:r>
        <w:rPr>
          <w:rFonts w:ascii="David" w:hAnsi="David" w:cs="David" w:hint="cs"/>
          <w:sz w:val="24"/>
          <w:szCs w:val="24"/>
          <w:rtl/>
        </w:rPr>
        <w:t>"]</w:t>
      </w:r>
      <w:r w:rsidRPr="00840C36">
        <w:rPr>
          <w:rFonts w:ascii="David" w:hAnsi="David" w:cs="David" w:hint="cs"/>
          <w:sz w:val="24"/>
          <w:szCs w:val="24"/>
          <w:rtl/>
        </w:rPr>
        <w:t xml:space="preserve">. </w:t>
      </w:r>
    </w:p>
    <w:p w:rsidR="00272CAC" w:rsidRPr="00840C36"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עם ביצוע פעולת הפריקה שביצע רפ"ק מקובסקי, התברר כי </w:t>
      </w:r>
      <w:r w:rsidRPr="0018429B">
        <w:rPr>
          <w:rFonts w:ascii="David" w:hAnsi="David" w:cs="David" w:hint="cs"/>
          <w:b/>
          <w:bCs/>
          <w:sz w:val="24"/>
          <w:szCs w:val="24"/>
          <w:rtl/>
        </w:rPr>
        <w:t>לא היה כדור ("כדור תורן") בבית הבליעה</w:t>
      </w:r>
      <w:r>
        <w:rPr>
          <w:rFonts w:ascii="David" w:hAnsi="David" w:cs="David" w:hint="cs"/>
          <w:sz w:val="24"/>
          <w:szCs w:val="24"/>
          <w:rtl/>
        </w:rPr>
        <w:t xml:space="preserve"> (עמ' 427 שורות 4-5 </w:t>
      </w:r>
      <w:r w:rsidRPr="0079704E">
        <w:rPr>
          <w:rFonts w:ascii="David" w:hAnsi="David" w:cs="David" w:hint="cs"/>
          <w:sz w:val="24"/>
          <w:szCs w:val="24"/>
          <w:rtl/>
        </w:rPr>
        <w:t>וכן ר' ת/129</w:t>
      </w:r>
      <w:r>
        <w:rPr>
          <w:rFonts w:ascii="David" w:hAnsi="David" w:cs="David" w:hint="cs"/>
          <w:sz w:val="24"/>
          <w:szCs w:val="24"/>
          <w:rtl/>
        </w:rPr>
        <w:t>).</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שילוב נתונים אלה הצביע, על פני הדברים, על אנומליה - שכן המחסנית שהיתה בנשק היתה עם כדורים (15 כדורים כפי שיתברר לאחר פריקת המחסנית); ולכן בפעולה רגילה של מנגנון הנשק ובשים לב שהנשק היה במצב דרוך, מצופה היה לאתר כדור בבית הבליעה; וכן מצופה היה שעם פריקת הנשק (הכוללת בין היתר את דריכתו) יצא אותו כדור, </w:t>
      </w:r>
      <w:r w:rsidRPr="0018429B">
        <w:rPr>
          <w:rFonts w:ascii="David" w:hAnsi="David" w:cs="David" w:hint="cs"/>
          <w:sz w:val="24"/>
          <w:szCs w:val="24"/>
          <w:u w:val="single"/>
          <w:rtl/>
        </w:rPr>
        <w:t>דבר שלא התרחש</w:t>
      </w:r>
      <w:r>
        <w:rPr>
          <w:rFonts w:ascii="David" w:hAnsi="David" w:cs="David" w:hint="cs"/>
          <w:sz w:val="24"/>
          <w:szCs w:val="24"/>
          <w:rtl/>
        </w:rPr>
        <w:t xml:space="preserve"> (עמ' 425 שורות 28-29).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lastRenderedPageBreak/>
        <w:t xml:space="preserve">משכך, נעשה חיפוש יסודי בחדר למציאת כדור, מתוך הסברה שמי שירה בנשק פרק אותו לאחר הירי; במהלך הפריקה נפלט אותו כדור ולאחר מכן הוכנסה המחסנית בשנית). </w:t>
      </w:r>
      <w:r w:rsidRPr="0079704E">
        <w:rPr>
          <w:rFonts w:ascii="David" w:hAnsi="David" w:cs="David" w:hint="cs"/>
          <w:sz w:val="24"/>
          <w:szCs w:val="24"/>
          <w:u w:val="single"/>
          <w:rtl/>
        </w:rPr>
        <w:t xml:space="preserve">חיפוש </w:t>
      </w:r>
      <w:r>
        <w:rPr>
          <w:rFonts w:ascii="David" w:hAnsi="David" w:cs="David" w:hint="cs"/>
          <w:sz w:val="24"/>
          <w:szCs w:val="24"/>
          <w:u w:val="single"/>
          <w:rtl/>
        </w:rPr>
        <w:t xml:space="preserve">זה </w:t>
      </w:r>
      <w:r w:rsidRPr="0079704E">
        <w:rPr>
          <w:rFonts w:ascii="David" w:hAnsi="David" w:cs="David" w:hint="cs"/>
          <w:sz w:val="24"/>
          <w:szCs w:val="24"/>
          <w:u w:val="single"/>
          <w:rtl/>
        </w:rPr>
        <w:t>העלה חרס</w:t>
      </w:r>
      <w:r>
        <w:rPr>
          <w:rFonts w:ascii="David" w:hAnsi="David" w:cs="David" w:hint="cs"/>
          <w:sz w:val="24"/>
          <w:szCs w:val="24"/>
          <w:rtl/>
        </w:rPr>
        <w:t xml:space="preserve"> (שם, עמוד 427).</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כפי שכבר ציינתי, לאחר הוצאת המחסנית מהאקדח היא נפרקה </w:t>
      </w:r>
      <w:r w:rsidRPr="00FE1824">
        <w:rPr>
          <w:rFonts w:ascii="David" w:hAnsi="David" w:cs="David" w:hint="cs"/>
          <w:b/>
          <w:bCs/>
          <w:sz w:val="24"/>
          <w:szCs w:val="24"/>
          <w:rtl/>
        </w:rPr>
        <w:t>ונמצאו בה 15 כדורים בלבד</w:t>
      </w:r>
      <w:r>
        <w:rPr>
          <w:rFonts w:ascii="David" w:hAnsi="David" w:cs="David" w:hint="cs"/>
          <w:sz w:val="24"/>
          <w:szCs w:val="24"/>
          <w:rtl/>
        </w:rPr>
        <w:t xml:space="preserve"> (ר' בנדון חוות דעתו של רפ"ק חירובסקי ת/129 עמ' 4). לא היה חולק כי מדובר במחסנית עם "עקב" שיכולה מבחינה עקרונית להכיל עד 17 כדורים (ר' הדגמה של טעינת 17 כדורים בסרטון "טעינת כדורים" בדיסק נ/8 שהוגש על ידי ההגנה); אך בפועל ועובר לירי, הכילה 16 כדורים בלבד. זו היתה גם טענת הנאשם שלא נסתרה (ר' לדוגמה עדות הנאשם מיום </w:t>
      </w:r>
      <w:r w:rsidRPr="003802AE">
        <w:rPr>
          <w:rFonts w:ascii="David" w:hAnsi="David" w:cs="David" w:hint="cs"/>
          <w:sz w:val="24"/>
          <w:szCs w:val="24"/>
          <w:rtl/>
        </w:rPr>
        <w:t>26.1.23 עמ' 714)</w:t>
      </w:r>
      <w:r>
        <w:rPr>
          <w:rFonts w:ascii="David" w:hAnsi="David" w:cs="David" w:hint="cs"/>
          <w:sz w:val="24"/>
          <w:szCs w:val="24"/>
          <w:rtl/>
        </w:rPr>
        <w:t xml:space="preserve"> וכן עלה כי כך מקובל ונהוג באופן כללי.</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חוות הדעת של המעבדה הניידת נחתמה כאמור על ידי </w:t>
      </w:r>
      <w:r w:rsidRPr="004D4493">
        <w:rPr>
          <w:rFonts w:ascii="David" w:hAnsi="David" w:cs="David" w:hint="cs"/>
          <w:b/>
          <w:bCs/>
          <w:sz w:val="24"/>
          <w:szCs w:val="24"/>
          <w:rtl/>
        </w:rPr>
        <w:t>רפ"ק חירובסקי</w:t>
      </w:r>
      <w:r>
        <w:rPr>
          <w:rFonts w:ascii="David" w:hAnsi="David" w:cs="David" w:hint="cs"/>
          <w:sz w:val="24"/>
          <w:szCs w:val="24"/>
          <w:rtl/>
        </w:rPr>
        <w:t xml:space="preserve">. מרבית הנתונים והמסקנות שבחוות הדעת אינם רלוונטיים כיום, נוכח יריעת המחלוקת הנוכחית. עם זאת, אפנה לנתונים שכבר צוינו לעיל בהקשר לפעולות שביצע רפ"ק מקובסקי באקדח, </w:t>
      </w:r>
      <w:r w:rsidRPr="0079704E">
        <w:rPr>
          <w:rFonts w:ascii="David" w:hAnsi="David" w:cs="David" w:hint="cs"/>
          <w:sz w:val="24"/>
          <w:szCs w:val="24"/>
          <w:u w:val="single"/>
          <w:rtl/>
        </w:rPr>
        <w:t xml:space="preserve">ושהעלו חשד </w:t>
      </w:r>
      <w:r>
        <w:rPr>
          <w:rFonts w:ascii="David" w:hAnsi="David" w:cs="David" w:hint="cs"/>
          <w:sz w:val="24"/>
          <w:szCs w:val="24"/>
          <w:u w:val="single"/>
          <w:rtl/>
        </w:rPr>
        <w:t>כבר סמוך להגעת צוות המעבדה הניידת לזירה כי אי</w:t>
      </w:r>
      <w:r w:rsidRPr="0079704E">
        <w:rPr>
          <w:rFonts w:ascii="David" w:hAnsi="David" w:cs="David" w:hint="cs"/>
          <w:sz w:val="24"/>
          <w:szCs w:val="24"/>
          <w:u w:val="single"/>
          <w:rtl/>
        </w:rPr>
        <w:t>ן מדובר בהתאבדות</w:t>
      </w:r>
      <w:r>
        <w:rPr>
          <w:rFonts w:ascii="David" w:hAnsi="David" w:cs="David" w:hint="cs"/>
          <w:sz w:val="24"/>
          <w:szCs w:val="24"/>
          <w:rtl/>
        </w:rPr>
        <w:t xml:space="preserve"> (ר' בנדון בין היתר המזכר ת/20) -  </w:t>
      </w:r>
    </w:p>
    <w:p w:rsidR="00272CAC" w:rsidRPr="0079704E"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כך, הימצאות </w:t>
      </w:r>
      <w:r w:rsidRPr="0018429B">
        <w:rPr>
          <w:rFonts w:ascii="David" w:hAnsi="David" w:cs="David" w:hint="cs"/>
          <w:sz w:val="24"/>
          <w:szCs w:val="24"/>
          <w:u w:val="single"/>
          <w:rtl/>
        </w:rPr>
        <w:t>התרמיל</w:t>
      </w:r>
      <w:r>
        <w:rPr>
          <w:rFonts w:ascii="David" w:hAnsi="David" w:cs="David" w:hint="cs"/>
          <w:sz w:val="24"/>
          <w:szCs w:val="24"/>
          <w:rtl/>
        </w:rPr>
        <w:t xml:space="preserve"> על המיטה העליונה במיטת הקומותיים לא תאמה להתאבדות שהרי לו המנוח החזיק בנשק וירה בעצמו, התרמיל היה אמור להיפלט  הצידה לכיוון הקיר ולא "לדלג" למיטה העליונה.</w:t>
      </w:r>
    </w:p>
    <w:p w:rsidR="00272CAC" w:rsidRDefault="00272CAC" w:rsidP="00272CAC">
      <w:pPr>
        <w:pStyle w:val="ac"/>
        <w:spacing w:after="0" w:line="360" w:lineRule="auto"/>
        <w:ind w:left="360"/>
        <w:jc w:val="both"/>
        <w:rPr>
          <w:rFonts w:ascii="David" w:hAnsi="David" w:cs="David"/>
          <w:sz w:val="24"/>
          <w:szCs w:val="24"/>
          <w:rtl/>
        </w:rPr>
      </w:pPr>
    </w:p>
    <w:p w:rsidR="00272CAC" w:rsidRPr="0018429B" w:rsidRDefault="00272CAC" w:rsidP="00272CAC">
      <w:pPr>
        <w:pStyle w:val="ac"/>
        <w:spacing w:after="0" w:line="360" w:lineRule="auto"/>
        <w:ind w:left="360"/>
        <w:jc w:val="both"/>
        <w:rPr>
          <w:rFonts w:ascii="David" w:hAnsi="David" w:cs="David"/>
          <w:sz w:val="24"/>
          <w:szCs w:val="24"/>
        </w:rPr>
      </w:pPr>
      <w:r w:rsidRPr="00D75804">
        <w:rPr>
          <w:rFonts w:ascii="David" w:hAnsi="David" w:cs="David" w:hint="cs"/>
          <w:sz w:val="24"/>
          <w:szCs w:val="24"/>
          <w:u w:val="single"/>
          <w:rtl/>
        </w:rPr>
        <w:t>לגבי זווית הירי</w:t>
      </w:r>
      <w:r>
        <w:rPr>
          <w:rFonts w:ascii="David" w:hAnsi="David" w:cs="David" w:hint="cs"/>
          <w:sz w:val="24"/>
          <w:szCs w:val="24"/>
          <w:rtl/>
        </w:rPr>
        <w:t xml:space="preserve"> - המומחה חירובסקי מצא וקבע את מסלול הקליע לאחר שאיתר את כיוון חדירת הקליע בשתי דפנות תעלת תקשורת שהיתה צמודה לקיר מאחורי ראשו של המנוח, כשהקליע המעוך נמצא בחלק הפנימי של התעלה (ר' תצלומים 19-22 לחוות הדעת ת/129). מדובר בזווית ירי שהתאימה לנשק שהיה ממוקם במרכז החדר, לצד ובאלכסון למיטה בה שכב המנוח, ולא לתנוחה האופיינית למי שיורה בעצמו. בנוסף, לא נמצא חומר חשוד כדם על גבי האקדח.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ממצאים אלה ונוספים הועברו לצוות החקירה, דבר שהוביל לחקירתו של הנאשם כחשוד שעות ספורות לאחר שהמנוח מצא את מותו, וארחיב על כך בהמשך. </w:t>
      </w:r>
    </w:p>
    <w:p w:rsidR="00272CAC" w:rsidRPr="0018429B"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sidRPr="0018429B">
        <w:rPr>
          <w:rFonts w:ascii="David" w:hAnsi="David" w:cs="David" w:hint="cs"/>
          <w:b/>
          <w:bCs/>
          <w:sz w:val="24"/>
          <w:szCs w:val="24"/>
          <w:u w:val="single"/>
          <w:rtl/>
        </w:rPr>
        <w:t>לגבי המרחק בין המנוח לבין האקדח בו אחז הנאשם בעת הירי</w:t>
      </w:r>
      <w:r>
        <w:rPr>
          <w:rFonts w:ascii="David" w:hAnsi="David" w:cs="David" w:hint="cs"/>
          <w:sz w:val="24"/>
          <w:szCs w:val="24"/>
          <w:rtl/>
        </w:rPr>
        <w:t xml:space="preserve">, הגישה המאשימה את חוות דעתו של </w:t>
      </w:r>
      <w:r w:rsidRPr="00DE6019">
        <w:rPr>
          <w:rFonts w:ascii="David" w:hAnsi="David" w:cs="David" w:hint="cs"/>
          <w:b/>
          <w:bCs/>
          <w:sz w:val="24"/>
          <w:szCs w:val="24"/>
          <w:rtl/>
        </w:rPr>
        <w:t>פקד אביעד לוי</w:t>
      </w:r>
      <w:r>
        <w:rPr>
          <w:rFonts w:ascii="David" w:hAnsi="David" w:cs="David" w:hint="cs"/>
          <w:sz w:val="24"/>
          <w:szCs w:val="24"/>
          <w:rtl/>
        </w:rPr>
        <w:t xml:space="preserve">, </w:t>
      </w:r>
      <w:r w:rsidRPr="00DE6019">
        <w:rPr>
          <w:rFonts w:ascii="David" w:hAnsi="David" w:cs="David" w:hint="cs"/>
          <w:b/>
          <w:bCs/>
          <w:sz w:val="24"/>
          <w:szCs w:val="24"/>
          <w:rtl/>
        </w:rPr>
        <w:t>מומחה ממעבדת סימנים</w:t>
      </w:r>
      <w:r>
        <w:rPr>
          <w:rFonts w:ascii="David" w:hAnsi="David" w:cs="David" w:hint="cs"/>
          <w:sz w:val="24"/>
          <w:szCs w:val="24"/>
          <w:rtl/>
        </w:rPr>
        <w:t xml:space="preserve"> (ת/130). </w:t>
      </w:r>
    </w:p>
    <w:p w:rsidR="00272CAC" w:rsidRDefault="00272CAC" w:rsidP="00272CAC">
      <w:pPr>
        <w:pStyle w:val="ac"/>
        <w:spacing w:after="0" w:line="360" w:lineRule="auto"/>
        <w:ind w:left="360"/>
        <w:jc w:val="both"/>
        <w:rPr>
          <w:rFonts w:ascii="David" w:hAnsi="David" w:cs="David"/>
          <w:b/>
          <w:bCs/>
          <w:sz w:val="24"/>
          <w:szCs w:val="24"/>
          <w:u w:val="single"/>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lastRenderedPageBreak/>
        <w:t xml:space="preserve">מדובר בחוות דעת שנערכה על בסיס ניתוח גיליונות (טפט דביק) שנדגמו מבגדיו ומגופו של המנוח על ידי צוות המעבדה הניידת וכן על ידי המרכז הלאומי לרפואה משפטית. ככלל, כלי ירי פולט במהלך הירי אבק שריפה, בעיקר כלפי כיוון הירי. על בסיס כמות, תבנית ושטח פיזור אבק השריפה, תוך השוואתם לניסויים מבוקרים שנערכו בעבר בסוגי הנשק והתחמושת הרלוונטיים, ניתן להעריך את המרחק בין כלי הירייה לבין אובייקט הירי.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עלה, בסבירות גבוהה, כי המנוח "</w:t>
      </w:r>
      <w:r w:rsidRPr="00CD7122">
        <w:rPr>
          <w:rFonts w:ascii="David" w:hAnsi="David" w:cs="David" w:hint="cs"/>
          <w:b/>
          <w:bCs/>
          <w:sz w:val="24"/>
          <w:szCs w:val="24"/>
          <w:rtl/>
        </w:rPr>
        <w:t>נורה ממרחק הקטן מ 1.25 מ</w:t>
      </w:r>
      <w:r>
        <w:rPr>
          <w:rFonts w:ascii="David" w:hAnsi="David" w:cs="David" w:hint="cs"/>
          <w:b/>
          <w:bCs/>
          <w:sz w:val="24"/>
          <w:szCs w:val="24"/>
          <w:rtl/>
        </w:rPr>
        <w:t>'</w:t>
      </w:r>
      <w:r w:rsidRPr="00CD7122">
        <w:rPr>
          <w:rFonts w:ascii="David" w:hAnsi="David" w:cs="David" w:hint="cs"/>
          <w:b/>
          <w:bCs/>
          <w:sz w:val="24"/>
          <w:szCs w:val="24"/>
          <w:rtl/>
        </w:rPr>
        <w:t xml:space="preserve"> לערך, אך לא מטווח מגע</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העד נחקר על חוות דעתו ביום 12.6.22; ההגנה לא הצליחה לעורר ולו ספק כלשהו בחוות דעתו; וממילא לא הובאה חוות דעת נגדית לסתירת ממצאי העד.</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עוד אפנה לבדיקת הנשק במטא"ר שנערכה על ידי </w:t>
      </w:r>
      <w:r w:rsidRPr="00DE6019">
        <w:rPr>
          <w:rFonts w:ascii="David" w:hAnsi="David" w:cs="David" w:hint="cs"/>
          <w:b/>
          <w:bCs/>
          <w:sz w:val="24"/>
          <w:szCs w:val="24"/>
          <w:rtl/>
        </w:rPr>
        <w:t>רפ"ק בוקובזה, מומחה ממעבדת הנשק</w:t>
      </w:r>
      <w:r>
        <w:rPr>
          <w:rFonts w:ascii="David" w:hAnsi="David" w:cs="David" w:hint="cs"/>
          <w:sz w:val="24"/>
          <w:szCs w:val="24"/>
          <w:rtl/>
        </w:rPr>
        <w:t xml:space="preserve">. </w:t>
      </w:r>
      <w:r w:rsidRPr="00A571D8">
        <w:rPr>
          <w:rFonts w:ascii="David" w:hAnsi="David" w:cs="David" w:hint="cs"/>
          <w:b/>
          <w:bCs/>
          <w:sz w:val="24"/>
          <w:szCs w:val="24"/>
          <w:rtl/>
        </w:rPr>
        <w:t>המומחה בדק את הנשק ומצא כי הוא תקין</w:t>
      </w:r>
      <w:r>
        <w:rPr>
          <w:rFonts w:ascii="David" w:hAnsi="David" w:cs="David" w:hint="cs"/>
          <w:sz w:val="24"/>
          <w:szCs w:val="24"/>
          <w:rtl/>
        </w:rPr>
        <w:t xml:space="preserve"> (ר' חוות הדעת ת/126);</w:t>
      </w:r>
    </w:p>
    <w:p w:rsidR="00272CAC" w:rsidRDefault="00272CAC" w:rsidP="00272CAC">
      <w:pPr>
        <w:spacing w:line="360" w:lineRule="auto"/>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בנוסף, ערך המומחה מספר פעולות לבקשת היחידה החוקרת, </w:t>
      </w:r>
      <w:r w:rsidRPr="00DE6019">
        <w:rPr>
          <w:rFonts w:ascii="David" w:hAnsi="David" w:hint="cs"/>
          <w:u w:val="single"/>
          <w:rtl/>
        </w:rPr>
        <w:t>בניסיון להסביר את היעדר כדור בבית הבליעה של האקדח בו נורה המנוח</w:t>
      </w:r>
      <w:r>
        <w:rPr>
          <w:rFonts w:ascii="David" w:hAnsi="David" w:hint="cs"/>
          <w:rtl/>
        </w:rPr>
        <w:t xml:space="preserve">. כפי שכבר צוין לעיל, במהלך "רגיל" של אקדח עם מחסנית טעונה היה אמור להימצא על פני הדברים כדור בבית הבליעה.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המומחה ביצע 5 סדרות של פעולות שפורטו במסמך ת/125. חלק מהפעולות הן "טריוויאליות" ולכן לא אפרטן - לדוגמה, סדרת הפעולות הראשונה כללה את טעינת האקדח במחסנית עם כדורים, ירי של כדור אחד, פריקת המחסנית, דריכתו </w:t>
      </w:r>
      <w:r>
        <w:rPr>
          <w:rFonts w:ascii="David" w:hAnsi="David"/>
          <w:rtl/>
        </w:rPr>
        <w:t>–</w:t>
      </w:r>
      <w:r>
        <w:rPr>
          <w:rFonts w:ascii="David" w:hAnsi="David" w:hint="cs"/>
          <w:rtl/>
        </w:rPr>
        <w:t xml:space="preserve"> מה שהביא ל"חליצת" הכדור מבית הבליעה. מדובר בהמחשה למה שתואר לעיל בנוגע למחזור פעילות "נורמלי" שבסופו, בהנחה ויש כדורים במחסנית, יימצא כדור ("כדור תורן") בבית הבליעה.</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כחריג לפעולות ה"טריויאליות" אפנה </w:t>
      </w:r>
      <w:r w:rsidRPr="00CD7122">
        <w:rPr>
          <w:rFonts w:ascii="David" w:hAnsi="David" w:hint="cs"/>
          <w:b/>
          <w:bCs/>
          <w:rtl/>
        </w:rPr>
        <w:t>לסדרת הפעולות החמישית</w:t>
      </w:r>
      <w:r>
        <w:rPr>
          <w:rFonts w:ascii="David" w:hAnsi="David" w:hint="cs"/>
          <w:rtl/>
        </w:rPr>
        <w:t xml:space="preserve">, שכללה: </w:t>
      </w:r>
    </w:p>
    <w:p w:rsidR="00272CAC" w:rsidRPr="00DE6019" w:rsidRDefault="00272CAC" w:rsidP="00272CAC">
      <w:pPr>
        <w:pStyle w:val="ac"/>
        <w:numPr>
          <w:ilvl w:val="0"/>
          <w:numId w:val="18"/>
        </w:numPr>
        <w:spacing w:after="0" w:line="360" w:lineRule="auto"/>
        <w:jc w:val="both"/>
        <w:rPr>
          <w:rFonts w:ascii="David" w:hAnsi="David" w:cs="David"/>
          <w:sz w:val="24"/>
          <w:szCs w:val="24"/>
          <w:rtl/>
        </w:rPr>
      </w:pPr>
      <w:r w:rsidRPr="00DE6019">
        <w:rPr>
          <w:rFonts w:ascii="David" w:hAnsi="David" w:cs="David" w:hint="cs"/>
          <w:sz w:val="24"/>
          <w:szCs w:val="24"/>
          <w:rtl/>
        </w:rPr>
        <w:t>טעינת המחסנית ב 16 כדורים;</w:t>
      </w:r>
    </w:p>
    <w:p w:rsidR="00272CAC" w:rsidRDefault="00272CAC" w:rsidP="00272CAC">
      <w:pPr>
        <w:pStyle w:val="ac"/>
        <w:numPr>
          <w:ilvl w:val="0"/>
          <w:numId w:val="18"/>
        </w:numPr>
        <w:spacing w:after="0" w:line="360" w:lineRule="auto"/>
        <w:jc w:val="both"/>
        <w:rPr>
          <w:rFonts w:ascii="David" w:hAnsi="David" w:cs="David"/>
          <w:sz w:val="24"/>
          <w:szCs w:val="24"/>
        </w:rPr>
      </w:pPr>
      <w:r>
        <w:rPr>
          <w:rFonts w:ascii="David" w:hAnsi="David" w:cs="David" w:hint="cs"/>
          <w:sz w:val="24"/>
          <w:szCs w:val="24"/>
          <w:rtl/>
        </w:rPr>
        <w:t>הכנסת המחסנית לאקדח;</w:t>
      </w:r>
    </w:p>
    <w:p w:rsidR="00272CAC" w:rsidRDefault="00272CAC" w:rsidP="00272CAC">
      <w:pPr>
        <w:pStyle w:val="ac"/>
        <w:numPr>
          <w:ilvl w:val="0"/>
          <w:numId w:val="18"/>
        </w:numPr>
        <w:spacing w:after="0" w:line="360" w:lineRule="auto"/>
        <w:jc w:val="both"/>
        <w:rPr>
          <w:rFonts w:ascii="David" w:hAnsi="David" w:cs="David"/>
          <w:sz w:val="24"/>
          <w:szCs w:val="24"/>
        </w:rPr>
      </w:pPr>
      <w:r>
        <w:rPr>
          <w:rFonts w:ascii="David" w:hAnsi="David" w:cs="David" w:hint="cs"/>
          <w:sz w:val="24"/>
          <w:szCs w:val="24"/>
          <w:rtl/>
        </w:rPr>
        <w:t>דריכת האקדח;</w:t>
      </w:r>
    </w:p>
    <w:p w:rsidR="00272CAC" w:rsidRDefault="00272CAC" w:rsidP="00272CAC">
      <w:pPr>
        <w:pStyle w:val="ac"/>
        <w:numPr>
          <w:ilvl w:val="0"/>
          <w:numId w:val="18"/>
        </w:numPr>
        <w:spacing w:after="0" w:line="360" w:lineRule="auto"/>
        <w:jc w:val="both"/>
        <w:rPr>
          <w:rFonts w:ascii="David" w:hAnsi="David" w:cs="David"/>
          <w:sz w:val="24"/>
          <w:szCs w:val="24"/>
        </w:rPr>
      </w:pPr>
      <w:r w:rsidRPr="0079704E">
        <w:rPr>
          <w:rFonts w:ascii="David" w:hAnsi="David" w:cs="David" w:hint="cs"/>
          <w:sz w:val="24"/>
          <w:szCs w:val="24"/>
          <w:u w:val="single"/>
          <w:rtl/>
        </w:rPr>
        <w:t>הוצאת המחסנית</w:t>
      </w:r>
      <w:r>
        <w:rPr>
          <w:rFonts w:ascii="David" w:hAnsi="David" w:cs="David" w:hint="cs"/>
          <w:sz w:val="24"/>
          <w:szCs w:val="24"/>
          <w:rtl/>
        </w:rPr>
        <w:t>;</w:t>
      </w:r>
    </w:p>
    <w:p w:rsidR="00272CAC" w:rsidRDefault="00272CAC" w:rsidP="00272CAC">
      <w:pPr>
        <w:pStyle w:val="ac"/>
        <w:numPr>
          <w:ilvl w:val="0"/>
          <w:numId w:val="18"/>
        </w:numPr>
        <w:spacing w:after="0" w:line="360" w:lineRule="auto"/>
        <w:jc w:val="both"/>
        <w:rPr>
          <w:rFonts w:ascii="David" w:hAnsi="David" w:cs="David"/>
          <w:sz w:val="24"/>
          <w:szCs w:val="24"/>
        </w:rPr>
      </w:pPr>
      <w:r w:rsidRPr="0079704E">
        <w:rPr>
          <w:rFonts w:ascii="David" w:hAnsi="David" w:cs="David" w:hint="cs"/>
          <w:sz w:val="24"/>
          <w:szCs w:val="24"/>
          <w:u w:val="single"/>
          <w:rtl/>
        </w:rPr>
        <w:t>הכנסת המחסנית בשנית לאקדח, ללא "נעילתה" /"תפיסתה" בתפס המחסנית</w:t>
      </w:r>
      <w:r>
        <w:rPr>
          <w:rFonts w:ascii="David" w:hAnsi="David" w:cs="David" w:hint="cs"/>
          <w:sz w:val="24"/>
          <w:szCs w:val="24"/>
          <w:rtl/>
        </w:rPr>
        <w:t>;</w:t>
      </w:r>
    </w:p>
    <w:p w:rsidR="00272CAC" w:rsidRDefault="00272CAC" w:rsidP="00272CAC">
      <w:pPr>
        <w:pStyle w:val="ac"/>
        <w:numPr>
          <w:ilvl w:val="0"/>
          <w:numId w:val="18"/>
        </w:numPr>
        <w:spacing w:after="0" w:line="360" w:lineRule="auto"/>
        <w:jc w:val="both"/>
        <w:rPr>
          <w:rFonts w:ascii="David" w:hAnsi="David" w:cs="David"/>
          <w:sz w:val="24"/>
          <w:szCs w:val="24"/>
        </w:rPr>
      </w:pPr>
      <w:r>
        <w:rPr>
          <w:rFonts w:ascii="David" w:hAnsi="David" w:cs="David" w:hint="cs"/>
          <w:sz w:val="24"/>
          <w:szCs w:val="24"/>
          <w:rtl/>
        </w:rPr>
        <w:t>לחיצה על ההדק וירי;</w:t>
      </w:r>
    </w:p>
    <w:p w:rsidR="00272CAC" w:rsidRDefault="00272CAC" w:rsidP="00272CAC">
      <w:pPr>
        <w:pStyle w:val="ac"/>
        <w:numPr>
          <w:ilvl w:val="0"/>
          <w:numId w:val="18"/>
        </w:numPr>
        <w:spacing w:after="0" w:line="360" w:lineRule="auto"/>
        <w:jc w:val="both"/>
        <w:rPr>
          <w:rFonts w:ascii="David" w:hAnsi="David" w:cs="David"/>
          <w:sz w:val="24"/>
          <w:szCs w:val="24"/>
        </w:rPr>
      </w:pPr>
      <w:r>
        <w:rPr>
          <w:rFonts w:ascii="David" w:hAnsi="David" w:cs="David" w:hint="cs"/>
          <w:sz w:val="24"/>
          <w:szCs w:val="24"/>
          <w:rtl/>
        </w:rPr>
        <w:t xml:space="preserve"> צוין כי לאחר הירי "</w:t>
      </w:r>
      <w:r w:rsidRPr="0079704E">
        <w:rPr>
          <w:rFonts w:ascii="David" w:hAnsi="David" w:cs="David" w:hint="cs"/>
          <w:b/>
          <w:bCs/>
          <w:sz w:val="24"/>
          <w:szCs w:val="24"/>
          <w:rtl/>
        </w:rPr>
        <w:t xml:space="preserve">המחסנית נפלה, הצינה נשארה לפנים (לא נתפסה בעצר המחלק) </w:t>
      </w:r>
      <w:r w:rsidRPr="0079704E">
        <w:rPr>
          <w:rFonts w:ascii="David" w:hAnsi="David" w:cs="David" w:hint="cs"/>
          <w:b/>
          <w:bCs/>
          <w:sz w:val="24"/>
          <w:szCs w:val="24"/>
          <w:u w:val="single"/>
          <w:rtl/>
        </w:rPr>
        <w:t>והאקדח היה ללא כדור תורן בבית הבליעה וההדק היה "דרוך"</w:t>
      </w:r>
      <w:r w:rsidRPr="0079704E">
        <w:rPr>
          <w:rFonts w:ascii="David" w:hAnsi="David" w:cs="David" w:hint="cs"/>
          <w:b/>
          <w:bCs/>
          <w:sz w:val="24"/>
          <w:szCs w:val="24"/>
          <w:rtl/>
        </w:rPr>
        <w:t xml:space="preserve"> </w:t>
      </w:r>
      <w:r>
        <w:rPr>
          <w:rFonts w:ascii="David" w:hAnsi="David" w:cs="David" w:hint="cs"/>
          <w:sz w:val="24"/>
          <w:szCs w:val="24"/>
          <w:rtl/>
        </w:rPr>
        <w:t>"</w:t>
      </w:r>
    </w:p>
    <w:p w:rsidR="00272CAC" w:rsidRDefault="00272CAC" w:rsidP="00272CAC">
      <w:pPr>
        <w:spacing w:line="360" w:lineRule="auto"/>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המומחה ציין בהתייחס לסדרת הפעולות החמישית שפורטה לעיל, את הדברים הבאים:</w:t>
      </w:r>
    </w:p>
    <w:p w:rsidR="00272CAC" w:rsidRDefault="00272CAC" w:rsidP="00272CAC">
      <w:pPr>
        <w:spacing w:line="360" w:lineRule="auto"/>
        <w:jc w:val="both"/>
        <w:rPr>
          <w:rFonts w:ascii="David" w:hAnsi="David"/>
          <w:rtl/>
        </w:rPr>
      </w:pPr>
    </w:p>
    <w:p w:rsidR="00272CAC" w:rsidRDefault="00272CAC" w:rsidP="00272CAC">
      <w:pPr>
        <w:spacing w:line="360" w:lineRule="auto"/>
        <w:ind w:left="360"/>
        <w:jc w:val="both"/>
        <w:rPr>
          <w:rFonts w:ascii="David" w:hAnsi="David"/>
          <w:rtl/>
        </w:rPr>
      </w:pPr>
      <w:r w:rsidRPr="00DE6019">
        <w:rPr>
          <w:rFonts w:ascii="David" w:hAnsi="David" w:hint="cs"/>
          <w:b/>
          <w:bCs/>
          <w:rtl/>
        </w:rPr>
        <w:t xml:space="preserve">"לאור כל הפעולות והפעולות שביצעתי ופרטתי לעיל, ההסבר האפשרי לכך שלאחר ירי לא נמצא כדור בבית הבליעה וההדק "דרוך", </w:t>
      </w:r>
      <w:r w:rsidRPr="00DE6019">
        <w:rPr>
          <w:rFonts w:ascii="David" w:hAnsi="David" w:hint="cs"/>
          <w:b/>
          <w:bCs/>
          <w:u w:val="single"/>
          <w:rtl/>
        </w:rPr>
        <w:t>הוא שבזמן הירי של הכדור התורן בבית הבליעה המחסנית היתה מונמכת, לא תפוסה ("נעולה") בבית המחסנית או שלא הייתה מחסנית כלל בכלי הנשק</w:t>
      </w:r>
      <w:r w:rsidRPr="00DE6019">
        <w:rPr>
          <w:rFonts w:ascii="David" w:hAnsi="David" w:hint="cs"/>
          <w:b/>
          <w:bCs/>
          <w:rtl/>
        </w:rPr>
        <w:t xml:space="preserve">, </w:t>
      </w:r>
      <w:r w:rsidRPr="00DE6019">
        <w:rPr>
          <w:rFonts w:ascii="David" w:hAnsi="David" w:hint="cs"/>
          <w:b/>
          <w:bCs/>
          <w:u w:val="single"/>
          <w:rtl/>
        </w:rPr>
        <w:t>ולכן לא בוצעה הפעולה של הזנת כדור תורן לבית הבליעה לאחר הירי הראשוני</w:t>
      </w:r>
      <w:r w:rsidRPr="00DE6019">
        <w:rPr>
          <w:rFonts w:ascii="David" w:hAnsi="David" w:hint="cs"/>
          <w:b/>
          <w:bCs/>
          <w:rtl/>
        </w:rPr>
        <w:t>"</w:t>
      </w:r>
      <w:r>
        <w:rPr>
          <w:rFonts w:ascii="David" w:hAnsi="David" w:hint="cs"/>
          <w:rtl/>
        </w:rPr>
        <w:t xml:space="preserve">. (ההדגשה לא במקור </w:t>
      </w:r>
      <w:r>
        <w:rPr>
          <w:rFonts w:ascii="David" w:hAnsi="David"/>
          <w:rtl/>
        </w:rPr>
        <w:t>–</w:t>
      </w:r>
      <w:r>
        <w:rPr>
          <w:rFonts w:ascii="David" w:hAnsi="David" w:hint="cs"/>
          <w:rtl/>
        </w:rPr>
        <w:t xml:space="preserve"> י.ל.).</w:t>
      </w:r>
    </w:p>
    <w:p w:rsidR="00272CAC" w:rsidRDefault="00272CAC" w:rsidP="00272CAC">
      <w:pPr>
        <w:spacing w:line="360" w:lineRule="auto"/>
        <w:jc w:val="both"/>
        <w:rPr>
          <w:rFonts w:ascii="David" w:hAnsi="David"/>
          <w:rtl/>
        </w:rPr>
      </w:pPr>
    </w:p>
    <w:p w:rsidR="00272CAC" w:rsidRPr="00DE6019" w:rsidRDefault="00272CAC" w:rsidP="00272CAC">
      <w:pPr>
        <w:spacing w:line="360" w:lineRule="auto"/>
        <w:ind w:left="360"/>
        <w:jc w:val="both"/>
        <w:rPr>
          <w:rFonts w:ascii="David" w:hAnsi="David"/>
          <w:rtl/>
        </w:rPr>
      </w:pPr>
      <w:r>
        <w:rPr>
          <w:rFonts w:ascii="David" w:hAnsi="David" w:hint="cs"/>
          <w:rtl/>
        </w:rPr>
        <w:t xml:space="preserve">המומחה הוסיף במסגרת הכנתו לעדות ובהתייחס לסדרת הפעולות החמישית לעיל, כי הוא לא ביצע "ניסוי הפוך" במסגרתו הוציא מעט את המחסנית ואז דרך את האקדח. הוא השיב כי הוא אינו יכול לחוות דעה, בהיעדר בדיקה, אם במצב שכזה היה נגרף כדור (ר' בנדון המסמך ת/126א'). </w:t>
      </w:r>
    </w:p>
    <w:p w:rsidR="00272CAC" w:rsidRPr="00DE6019" w:rsidRDefault="00272CAC" w:rsidP="00272CAC">
      <w:pPr>
        <w:spacing w:line="360" w:lineRule="auto"/>
        <w:ind w:left="360"/>
        <w:jc w:val="both"/>
        <w:rPr>
          <w:rFonts w:ascii="David" w:hAnsi="David"/>
        </w:rPr>
      </w:pPr>
    </w:p>
    <w:p w:rsidR="00272CAC" w:rsidRDefault="00272CAC" w:rsidP="00272CAC">
      <w:pPr>
        <w:pStyle w:val="ac"/>
        <w:spacing w:after="0" w:line="360" w:lineRule="auto"/>
        <w:ind w:left="360"/>
        <w:jc w:val="both"/>
        <w:rPr>
          <w:rFonts w:ascii="David" w:hAnsi="David" w:cs="David"/>
          <w:sz w:val="24"/>
          <w:szCs w:val="24"/>
          <w:u w:val="single"/>
        </w:rPr>
      </w:pPr>
      <w:r w:rsidRPr="00D472EE">
        <w:rPr>
          <w:rFonts w:ascii="David" w:hAnsi="David" w:cs="David" w:hint="cs"/>
          <w:sz w:val="24"/>
          <w:szCs w:val="24"/>
          <w:u w:val="single"/>
          <w:rtl/>
        </w:rPr>
        <w:t xml:space="preserve">אמרות הנאשם </w:t>
      </w:r>
      <w:r>
        <w:rPr>
          <w:rFonts w:ascii="David" w:hAnsi="David" w:cs="David" w:hint="cs"/>
          <w:sz w:val="24"/>
          <w:szCs w:val="24"/>
          <w:u w:val="single"/>
          <w:rtl/>
        </w:rPr>
        <w:t>וגרסתו בבית המשפט</w:t>
      </w:r>
    </w:p>
    <w:p w:rsidR="00272CAC" w:rsidRDefault="00272CAC" w:rsidP="00272CAC">
      <w:pPr>
        <w:pStyle w:val="ac"/>
        <w:numPr>
          <w:ilvl w:val="0"/>
          <w:numId w:val="14"/>
        </w:numPr>
        <w:spacing w:after="0" w:line="360" w:lineRule="auto"/>
        <w:jc w:val="both"/>
        <w:rPr>
          <w:rFonts w:ascii="David" w:hAnsi="David" w:cs="David"/>
          <w:sz w:val="24"/>
          <w:szCs w:val="24"/>
        </w:rPr>
      </w:pPr>
      <w:r w:rsidRPr="004D4493">
        <w:rPr>
          <w:rFonts w:ascii="David" w:hAnsi="David" w:cs="David" w:hint="cs"/>
          <w:sz w:val="24"/>
          <w:szCs w:val="24"/>
          <w:rtl/>
        </w:rPr>
        <w:t>כ</w:t>
      </w:r>
      <w:r>
        <w:rPr>
          <w:rFonts w:ascii="David" w:hAnsi="David" w:cs="David" w:hint="cs"/>
          <w:sz w:val="24"/>
          <w:szCs w:val="24"/>
          <w:rtl/>
        </w:rPr>
        <w:t xml:space="preserve">מתואר </w:t>
      </w:r>
      <w:r w:rsidRPr="004D4493">
        <w:rPr>
          <w:rFonts w:ascii="David" w:hAnsi="David" w:cs="David" w:hint="cs"/>
          <w:sz w:val="24"/>
          <w:szCs w:val="24"/>
          <w:rtl/>
        </w:rPr>
        <w:t>לעיל, הנאשם מסר שניות לאחר הירי, עת הגיע למועדון שם ישבו חבריו ליחידה, כי המנוח "</w:t>
      </w:r>
      <w:r w:rsidRPr="00F17CF2">
        <w:rPr>
          <w:rFonts w:ascii="David" w:hAnsi="David" w:cs="David" w:hint="cs"/>
          <w:b/>
          <w:bCs/>
          <w:sz w:val="24"/>
          <w:szCs w:val="24"/>
          <w:rtl/>
        </w:rPr>
        <w:t>ירה בעצמו</w:t>
      </w:r>
      <w:r w:rsidRPr="004D4493">
        <w:rPr>
          <w:rFonts w:ascii="David" w:hAnsi="David" w:cs="David" w:hint="cs"/>
          <w:sz w:val="24"/>
          <w:szCs w:val="24"/>
          <w:rtl/>
        </w:rPr>
        <w:t xml:space="preserve">". </w:t>
      </w:r>
      <w:r>
        <w:rPr>
          <w:rFonts w:ascii="David" w:hAnsi="David" w:cs="David" w:hint="cs"/>
          <w:sz w:val="24"/>
          <w:szCs w:val="24"/>
          <w:rtl/>
        </w:rPr>
        <w:t xml:space="preserve">כפי שעלה מהראיות </w:t>
      </w:r>
      <w:r w:rsidRPr="004D4493">
        <w:rPr>
          <w:rFonts w:ascii="David" w:hAnsi="David" w:cs="David" w:hint="cs"/>
          <w:sz w:val="24"/>
          <w:szCs w:val="24"/>
          <w:rtl/>
        </w:rPr>
        <w:t xml:space="preserve">הנאשם חזר על גרסתו זו </w:t>
      </w:r>
      <w:r>
        <w:rPr>
          <w:rFonts w:ascii="David" w:hAnsi="David" w:cs="David" w:hint="cs"/>
          <w:sz w:val="24"/>
          <w:szCs w:val="24"/>
          <w:rtl/>
        </w:rPr>
        <w:t xml:space="preserve">מספר רב פעמים באותו לילה ובפני אנשים רבים. הנאשם </w:t>
      </w:r>
      <w:r w:rsidRPr="004D4493">
        <w:rPr>
          <w:rFonts w:ascii="David" w:hAnsi="David" w:cs="David" w:hint="cs"/>
          <w:sz w:val="24"/>
          <w:szCs w:val="24"/>
          <w:rtl/>
        </w:rPr>
        <w:t xml:space="preserve">אף </w:t>
      </w:r>
      <w:r>
        <w:rPr>
          <w:rFonts w:ascii="David" w:hAnsi="David" w:cs="David" w:hint="cs"/>
          <w:sz w:val="24"/>
          <w:szCs w:val="24"/>
          <w:rtl/>
        </w:rPr>
        <w:t xml:space="preserve">טען בפני חבריו ליחידה ובפני מפקדיו כי </w:t>
      </w:r>
      <w:r w:rsidRPr="004D4493">
        <w:rPr>
          <w:rFonts w:ascii="David" w:hAnsi="David" w:cs="David" w:hint="cs"/>
          <w:sz w:val="24"/>
          <w:szCs w:val="24"/>
          <w:rtl/>
        </w:rPr>
        <w:t xml:space="preserve">בעת הירי הוא עצמו שהה בשירותים. </w:t>
      </w:r>
    </w:p>
    <w:p w:rsidR="00272CAC" w:rsidRPr="00F17CF2" w:rsidRDefault="00272CAC" w:rsidP="00272CAC">
      <w:pPr>
        <w:spacing w:line="360" w:lineRule="auto"/>
        <w:jc w:val="both"/>
        <w:rPr>
          <w:rFonts w:ascii="David" w:hAnsi="David"/>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4D4493">
        <w:rPr>
          <w:rFonts w:ascii="David" w:hAnsi="David" w:cs="David" w:hint="cs"/>
          <w:sz w:val="24"/>
          <w:szCs w:val="24"/>
          <w:rtl/>
        </w:rPr>
        <w:t xml:space="preserve">לאמרות הנאשם סמוך לאחר האירוע </w:t>
      </w:r>
      <w:r>
        <w:rPr>
          <w:rFonts w:ascii="David" w:hAnsi="David" w:cs="David" w:hint="cs"/>
          <w:sz w:val="24"/>
          <w:szCs w:val="24"/>
          <w:u w:val="single"/>
          <w:rtl/>
        </w:rPr>
        <w:t>ועוד טרם נחשד</w:t>
      </w:r>
      <w:r w:rsidRPr="00F17CF2">
        <w:rPr>
          <w:rFonts w:ascii="David" w:hAnsi="David" w:cs="David" w:hint="cs"/>
          <w:sz w:val="24"/>
          <w:szCs w:val="24"/>
          <w:rtl/>
        </w:rPr>
        <w:t>,</w:t>
      </w:r>
      <w:r w:rsidRPr="004D4493">
        <w:rPr>
          <w:rFonts w:ascii="David" w:hAnsi="David" w:cs="David" w:hint="cs"/>
          <w:sz w:val="24"/>
          <w:szCs w:val="24"/>
          <w:rtl/>
        </w:rPr>
        <w:t xml:space="preserve"> יש תיעוד חלקי בראיות המאשימה</w:t>
      </w:r>
      <w:r>
        <w:rPr>
          <w:rFonts w:ascii="David" w:hAnsi="David" w:cs="David" w:hint="cs"/>
          <w:sz w:val="24"/>
          <w:szCs w:val="24"/>
          <w:rtl/>
        </w:rPr>
        <w:t xml:space="preserve"> - </w:t>
      </w:r>
      <w:r w:rsidRPr="004D4493">
        <w:rPr>
          <w:rFonts w:ascii="David" w:hAnsi="David" w:cs="David" w:hint="cs"/>
          <w:sz w:val="24"/>
          <w:szCs w:val="24"/>
          <w:rtl/>
        </w:rPr>
        <w:t xml:space="preserve"> </w:t>
      </w:r>
    </w:p>
    <w:p w:rsidR="00272CAC" w:rsidRPr="00F17CF2"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אפנה לתיאור דברי הנאשם שהובאו לעיל מפי חבריו ליחידה אותם הזעיק לחדר בו נמצא המנוח. כאמור לעיל הנאשם מסר להם כי המנוח ירה בעצמו, וחלקם מסר שהנאשם תיאר כי המנוח התאבד. הפניתי לעיל לעיקרי הדברים שמסרו אותם עדים.</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בנוסף </w:t>
      </w:r>
      <w:r w:rsidRPr="004D4493">
        <w:rPr>
          <w:rFonts w:ascii="David" w:hAnsi="David" w:cs="David" w:hint="cs"/>
          <w:sz w:val="24"/>
          <w:szCs w:val="24"/>
          <w:rtl/>
        </w:rPr>
        <w:t>אפנה לפריקת הטלפון של המפקד התורן אדרי, שם נשמרו שיחות מוקלטות שניהל עם אחרים סמוך לאחר האירוע. אדרי התקשר למפקדו ג'ריס ג'ריס (אין שעה מדויקת</w:t>
      </w:r>
      <w:r>
        <w:rPr>
          <w:rFonts w:ascii="David" w:hAnsi="David" w:cs="David" w:hint="cs"/>
          <w:sz w:val="24"/>
          <w:szCs w:val="24"/>
          <w:rtl/>
        </w:rPr>
        <w:t xml:space="preserve"> של השיחה</w:t>
      </w:r>
      <w:r w:rsidRPr="004D4493">
        <w:rPr>
          <w:rFonts w:ascii="David" w:hAnsi="David" w:cs="David" w:hint="cs"/>
          <w:sz w:val="24"/>
          <w:szCs w:val="24"/>
          <w:rtl/>
        </w:rPr>
        <w:t>) כדי לעדכן אותו אודות שהתרחש, ובמהלך השיחה פנה אל הנאשם ושאל אותו האם היה (הכוונה לנאשם) בחדר בזמן הירי</w:t>
      </w:r>
      <w:r>
        <w:rPr>
          <w:rFonts w:ascii="David" w:hAnsi="David" w:cs="David" w:hint="cs"/>
          <w:sz w:val="24"/>
          <w:szCs w:val="24"/>
          <w:rtl/>
        </w:rPr>
        <w:t xml:space="preserve">. </w:t>
      </w:r>
      <w:r w:rsidRPr="004D4493">
        <w:rPr>
          <w:rFonts w:ascii="David" w:hAnsi="David" w:cs="David" w:hint="cs"/>
          <w:sz w:val="24"/>
          <w:szCs w:val="24"/>
          <w:rtl/>
        </w:rPr>
        <w:t>במענה לכך השיב הנאשם כך: "</w:t>
      </w:r>
      <w:r w:rsidRPr="004D4493">
        <w:rPr>
          <w:rFonts w:ascii="David" w:hAnsi="David" w:cs="David" w:hint="cs"/>
          <w:b/>
          <w:bCs/>
          <w:sz w:val="24"/>
          <w:szCs w:val="24"/>
          <w:rtl/>
        </w:rPr>
        <w:t>מה? לא, אני הייתי בשירותים</w:t>
      </w:r>
      <w:r w:rsidRPr="004D4493">
        <w:rPr>
          <w:rFonts w:ascii="David" w:hAnsi="David" w:cs="David" w:hint="cs"/>
          <w:sz w:val="24"/>
          <w:szCs w:val="24"/>
          <w:rtl/>
        </w:rPr>
        <w:t>"</w:t>
      </w:r>
      <w:r>
        <w:rPr>
          <w:rFonts w:ascii="David" w:hAnsi="David" w:cs="David" w:hint="cs"/>
          <w:sz w:val="24"/>
          <w:szCs w:val="24"/>
          <w:rtl/>
        </w:rPr>
        <w:t xml:space="preserve">. </w:t>
      </w:r>
      <w:r w:rsidRPr="004D4493">
        <w:rPr>
          <w:rFonts w:ascii="David" w:hAnsi="David" w:cs="David" w:hint="cs"/>
          <w:sz w:val="24"/>
          <w:szCs w:val="24"/>
          <w:rtl/>
        </w:rPr>
        <w:t xml:space="preserve">בהמשך </w:t>
      </w:r>
      <w:r>
        <w:rPr>
          <w:rFonts w:ascii="David" w:hAnsi="David" w:cs="David" w:hint="cs"/>
          <w:sz w:val="24"/>
          <w:szCs w:val="24"/>
          <w:rtl/>
        </w:rPr>
        <w:t xml:space="preserve">השיחה </w:t>
      </w:r>
      <w:r w:rsidRPr="004D4493">
        <w:rPr>
          <w:rFonts w:ascii="David" w:hAnsi="David" w:cs="David" w:hint="cs"/>
          <w:sz w:val="24"/>
          <w:szCs w:val="24"/>
          <w:rtl/>
        </w:rPr>
        <w:t>שוחח</w:t>
      </w:r>
      <w:r>
        <w:rPr>
          <w:rFonts w:ascii="David" w:hAnsi="David" w:cs="David" w:hint="cs"/>
          <w:sz w:val="24"/>
          <w:szCs w:val="24"/>
          <w:rtl/>
        </w:rPr>
        <w:t>ו הנאשם וג</w:t>
      </w:r>
      <w:r w:rsidRPr="004D4493">
        <w:rPr>
          <w:rFonts w:ascii="David" w:hAnsi="David" w:cs="David" w:hint="cs"/>
          <w:sz w:val="24"/>
          <w:szCs w:val="24"/>
          <w:rtl/>
        </w:rPr>
        <w:t>'ריס</w:t>
      </w:r>
      <w:r>
        <w:rPr>
          <w:rFonts w:ascii="David" w:hAnsi="David" w:cs="David" w:hint="cs"/>
          <w:sz w:val="24"/>
          <w:szCs w:val="24"/>
          <w:rtl/>
        </w:rPr>
        <w:t xml:space="preserve">, והנאשם </w:t>
      </w:r>
      <w:r w:rsidRPr="004D4493">
        <w:rPr>
          <w:rFonts w:ascii="David" w:hAnsi="David" w:cs="David" w:hint="cs"/>
          <w:sz w:val="24"/>
          <w:szCs w:val="24"/>
          <w:rtl/>
        </w:rPr>
        <w:t>תיאר באוזניו את שהתרחש כך:</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sidRPr="004D4493">
        <w:rPr>
          <w:rFonts w:ascii="David" w:hAnsi="David" w:cs="David" w:hint="cs"/>
          <w:sz w:val="24"/>
          <w:szCs w:val="24"/>
          <w:rtl/>
        </w:rPr>
        <w:t>"</w:t>
      </w:r>
      <w:r w:rsidRPr="004D4493">
        <w:rPr>
          <w:rFonts w:ascii="David" w:hAnsi="David" w:cs="David" w:hint="cs"/>
          <w:b/>
          <w:bCs/>
          <w:sz w:val="24"/>
          <w:szCs w:val="24"/>
          <w:rtl/>
        </w:rPr>
        <w:t xml:space="preserve">סיימנו לאכול את הפיצה, אמרתי לו 'נעים, קח את ה </w:t>
      </w:r>
      <w:r w:rsidRPr="004D4493">
        <w:rPr>
          <w:rFonts w:ascii="David" w:hAnsi="David" w:cs="David" w:hint="cs"/>
          <w:b/>
          <w:bCs/>
          <w:sz w:val="24"/>
          <w:szCs w:val="24"/>
        </w:rPr>
        <w:t>M-16</w:t>
      </w:r>
      <w:r w:rsidRPr="004D4493">
        <w:rPr>
          <w:rFonts w:ascii="David" w:hAnsi="David" w:cs="David" w:hint="cs"/>
          <w:b/>
          <w:bCs/>
          <w:sz w:val="24"/>
          <w:szCs w:val="24"/>
          <w:rtl/>
        </w:rPr>
        <w:t xml:space="preserve"> שלי' כשהגענו למגורים, 'ואת האקדח, אני הולך לצוות השני לחרבן', הוא אומר לי 'אין בעיה' הוא שם לי את זה, אני רואה </w:t>
      </w:r>
      <w:r w:rsidRPr="004D4493">
        <w:rPr>
          <w:rFonts w:ascii="David" w:hAnsi="David" w:cs="David" w:hint="cs"/>
          <w:b/>
          <w:bCs/>
          <w:sz w:val="24"/>
          <w:szCs w:val="24"/>
          <w:rtl/>
        </w:rPr>
        <w:lastRenderedPageBreak/>
        <w:t xml:space="preserve">את ה </w:t>
      </w:r>
      <w:r w:rsidRPr="004D4493">
        <w:rPr>
          <w:rFonts w:ascii="David" w:hAnsi="David" w:cs="David" w:hint="cs"/>
          <w:b/>
          <w:bCs/>
          <w:sz w:val="24"/>
          <w:szCs w:val="24"/>
        </w:rPr>
        <w:t>M-16</w:t>
      </w:r>
      <w:r w:rsidRPr="004D4493">
        <w:rPr>
          <w:rFonts w:ascii="David" w:hAnsi="David" w:cs="David" w:hint="cs"/>
          <w:b/>
          <w:bCs/>
          <w:sz w:val="24"/>
          <w:szCs w:val="24"/>
          <w:rtl/>
        </w:rPr>
        <w:t xml:space="preserve"> על המיטה והאקדח אתו ביד ואני מגיע לחדר כולו דם (...) נותן לעצמי כאפות לפנים (...) והאקדח שלי עליו.."</w:t>
      </w:r>
      <w:r w:rsidRPr="004D4493">
        <w:rPr>
          <w:rFonts w:ascii="David" w:hAnsi="David" w:cs="David" w:hint="cs"/>
          <w:sz w:val="24"/>
          <w:szCs w:val="24"/>
          <w:rtl/>
        </w:rPr>
        <w:t xml:space="preserve"> (ר' תיעוד של שיחות אלה בת/61, קובץ ה').</w:t>
      </w:r>
    </w:p>
    <w:p w:rsidR="00272CAC" w:rsidRPr="004D4493" w:rsidRDefault="00272CAC" w:rsidP="00272CAC">
      <w:pPr>
        <w:pStyle w:val="ac"/>
        <w:rPr>
          <w:rFonts w:ascii="David" w:hAnsi="David" w:cs="David"/>
          <w:sz w:val="24"/>
          <w:szCs w:val="24"/>
          <w:rtl/>
        </w:rPr>
      </w:pPr>
    </w:p>
    <w:p w:rsidR="00272CAC" w:rsidRDefault="00272CAC" w:rsidP="00272CAC">
      <w:pPr>
        <w:pStyle w:val="ac"/>
        <w:rPr>
          <w:rFonts w:ascii="David" w:hAnsi="David" w:cs="David"/>
          <w:sz w:val="24"/>
          <w:szCs w:val="24"/>
          <w:u w:val="single"/>
          <w:rtl/>
        </w:rPr>
      </w:pPr>
    </w:p>
    <w:p w:rsidR="00272CAC" w:rsidRPr="00752891"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עוד אפנה לכך שסמוך לאחר מות המנוח, </w:t>
      </w:r>
      <w:r w:rsidRPr="00752891">
        <w:rPr>
          <w:rFonts w:ascii="David" w:hAnsi="David" w:cs="David" w:hint="cs"/>
          <w:sz w:val="24"/>
          <w:szCs w:val="24"/>
          <w:rtl/>
        </w:rPr>
        <w:t>העלה הנאשם פוסט לאינסטגרם שלו ובו כתב</w:t>
      </w:r>
      <w:r>
        <w:rPr>
          <w:rFonts w:ascii="David" w:hAnsi="David" w:cs="David" w:hint="cs"/>
          <w:sz w:val="24"/>
          <w:szCs w:val="24"/>
          <w:rtl/>
        </w:rPr>
        <w:t xml:space="preserve"> :"</w:t>
      </w:r>
      <w:r w:rsidRPr="004D4493">
        <w:rPr>
          <w:rFonts w:ascii="David" w:hAnsi="David" w:cs="David" w:hint="cs"/>
          <w:b/>
          <w:bCs/>
          <w:sz w:val="24"/>
          <w:szCs w:val="24"/>
          <w:rtl/>
        </w:rPr>
        <w:t>לא מאמין איך עשית לי את זה איך אחי אוהב אותך</w:t>
      </w:r>
      <w:r>
        <w:rPr>
          <w:rFonts w:ascii="David" w:hAnsi="David" w:cs="David" w:hint="cs"/>
          <w:sz w:val="24"/>
          <w:szCs w:val="24"/>
          <w:rtl/>
        </w:rPr>
        <w:t xml:space="preserve"> (סימני לב </w:t>
      </w:r>
      <w:r>
        <w:rPr>
          <w:rFonts w:ascii="David" w:hAnsi="David" w:cs="David"/>
          <w:sz w:val="24"/>
          <w:szCs w:val="24"/>
          <w:rtl/>
        </w:rPr>
        <w:t>–</w:t>
      </w:r>
      <w:r>
        <w:rPr>
          <w:rFonts w:ascii="David" w:hAnsi="David" w:cs="David" w:hint="cs"/>
          <w:sz w:val="24"/>
          <w:szCs w:val="24"/>
          <w:rtl/>
        </w:rPr>
        <w:t xml:space="preserve"> י.ל.) </w:t>
      </w:r>
      <w:r w:rsidRPr="004D4493">
        <w:rPr>
          <w:rFonts w:ascii="David" w:hAnsi="David" w:cs="David" w:hint="cs"/>
          <w:b/>
          <w:bCs/>
          <w:sz w:val="24"/>
          <w:szCs w:val="24"/>
          <w:rtl/>
        </w:rPr>
        <w:t>ולא ישכח</w:t>
      </w:r>
      <w:r>
        <w:rPr>
          <w:rFonts w:ascii="David" w:hAnsi="David" w:cs="David" w:hint="cs"/>
          <w:sz w:val="24"/>
          <w:szCs w:val="24"/>
          <w:rtl/>
        </w:rPr>
        <w:t xml:space="preserve"> (כך במקור </w:t>
      </w:r>
      <w:r>
        <w:rPr>
          <w:rFonts w:ascii="David" w:hAnsi="David" w:cs="David"/>
          <w:sz w:val="24"/>
          <w:szCs w:val="24"/>
          <w:rtl/>
        </w:rPr>
        <w:t>–</w:t>
      </w:r>
      <w:r>
        <w:rPr>
          <w:rFonts w:ascii="David" w:hAnsi="David" w:cs="David" w:hint="cs"/>
          <w:sz w:val="24"/>
          <w:szCs w:val="24"/>
          <w:rtl/>
        </w:rPr>
        <w:t xml:space="preserve"> י.ל.) </w:t>
      </w:r>
      <w:r w:rsidRPr="004D4493">
        <w:rPr>
          <w:rFonts w:ascii="David" w:hAnsi="David" w:cs="David" w:hint="cs"/>
          <w:b/>
          <w:bCs/>
          <w:sz w:val="24"/>
          <w:szCs w:val="24"/>
          <w:rtl/>
        </w:rPr>
        <w:t>יהיה זכרו ברוך</w:t>
      </w:r>
      <w:r>
        <w:rPr>
          <w:rFonts w:ascii="David" w:hAnsi="David" w:cs="David" w:hint="cs"/>
          <w:sz w:val="24"/>
          <w:szCs w:val="24"/>
          <w:rtl/>
        </w:rPr>
        <w:t>". עלה שהדבר נעשה בשעות שלאחר מות המנוח ועוד טרם הודע הדבר באופן מסודר למשפחתו.</w:t>
      </w:r>
    </w:p>
    <w:p w:rsidR="00272CAC" w:rsidRDefault="00272CAC" w:rsidP="00272CAC">
      <w:pPr>
        <w:pStyle w:val="ac"/>
        <w:spacing w:after="0" w:line="360" w:lineRule="auto"/>
        <w:ind w:left="360"/>
        <w:jc w:val="both"/>
        <w:rPr>
          <w:rFonts w:ascii="David" w:hAnsi="David" w:cs="David"/>
          <w:sz w:val="24"/>
          <w:szCs w:val="24"/>
          <w:rtl/>
        </w:rPr>
      </w:pPr>
    </w:p>
    <w:p w:rsidR="00272CAC" w:rsidRPr="00040196"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u w:val="single"/>
          <w:rtl/>
        </w:rPr>
        <w:t xml:space="preserve">חקירתו </w:t>
      </w:r>
      <w:r w:rsidRPr="00040196">
        <w:rPr>
          <w:rFonts w:ascii="David" w:hAnsi="David" w:cs="David" w:hint="cs"/>
          <w:sz w:val="24"/>
          <w:szCs w:val="24"/>
          <w:u w:val="single"/>
          <w:rtl/>
        </w:rPr>
        <w:t xml:space="preserve">הראשונה </w:t>
      </w:r>
      <w:r>
        <w:rPr>
          <w:rFonts w:ascii="David" w:hAnsi="David" w:cs="David" w:hint="cs"/>
          <w:sz w:val="24"/>
          <w:szCs w:val="24"/>
          <w:u w:val="single"/>
          <w:rtl/>
        </w:rPr>
        <w:t xml:space="preserve">של הנאשם </w:t>
      </w:r>
      <w:r w:rsidRPr="00040196">
        <w:rPr>
          <w:rFonts w:ascii="David" w:hAnsi="David" w:cs="David" w:hint="cs"/>
          <w:sz w:val="24"/>
          <w:szCs w:val="24"/>
          <w:u w:val="single"/>
          <w:rtl/>
        </w:rPr>
        <w:t xml:space="preserve">נגבתה </w:t>
      </w:r>
      <w:r>
        <w:rPr>
          <w:rFonts w:ascii="David" w:hAnsi="David" w:cs="David" w:hint="cs"/>
          <w:sz w:val="24"/>
          <w:szCs w:val="24"/>
          <w:u w:val="single"/>
          <w:rtl/>
        </w:rPr>
        <w:t>בסביבות השעה 22:30</w:t>
      </w:r>
      <w:r w:rsidRPr="00040196">
        <w:rPr>
          <w:rFonts w:ascii="David" w:hAnsi="David" w:cs="David" w:hint="cs"/>
          <w:sz w:val="24"/>
          <w:szCs w:val="24"/>
          <w:rtl/>
        </w:rPr>
        <w:t xml:space="preserve">. לבסיס הגיע חוקר משטרה </w:t>
      </w:r>
      <w:r>
        <w:rPr>
          <w:rFonts w:ascii="David" w:hAnsi="David" w:cs="David" w:hint="cs"/>
          <w:sz w:val="24"/>
          <w:szCs w:val="24"/>
          <w:rtl/>
        </w:rPr>
        <w:t xml:space="preserve">וזאת </w:t>
      </w:r>
      <w:r w:rsidRPr="00040196">
        <w:rPr>
          <w:rFonts w:ascii="David" w:hAnsi="David" w:cs="David" w:hint="cs"/>
          <w:sz w:val="24"/>
          <w:szCs w:val="24"/>
          <w:rtl/>
        </w:rPr>
        <w:t>עוד טרם כניסת מח"ש לחקירה ו</w:t>
      </w:r>
      <w:r>
        <w:rPr>
          <w:rFonts w:ascii="David" w:hAnsi="David" w:cs="David" w:hint="cs"/>
          <w:sz w:val="24"/>
          <w:szCs w:val="24"/>
          <w:rtl/>
        </w:rPr>
        <w:t xml:space="preserve">לפני </w:t>
      </w:r>
      <w:r w:rsidRPr="00040196">
        <w:rPr>
          <w:rFonts w:ascii="David" w:hAnsi="David" w:cs="David" w:hint="cs"/>
          <w:sz w:val="24"/>
          <w:szCs w:val="24"/>
          <w:rtl/>
        </w:rPr>
        <w:t>שעלה חשד כנגד הנאשם. החוקר גבה מהנאשם "</w:t>
      </w:r>
      <w:r w:rsidRPr="00450EF3">
        <w:rPr>
          <w:rFonts w:ascii="David" w:hAnsi="David" w:cs="David" w:hint="cs"/>
          <w:b/>
          <w:bCs/>
          <w:sz w:val="24"/>
          <w:szCs w:val="24"/>
          <w:rtl/>
        </w:rPr>
        <w:t>עדות פתוחה</w:t>
      </w:r>
      <w:r w:rsidRPr="00040196">
        <w:rPr>
          <w:rFonts w:ascii="David" w:hAnsi="David" w:cs="David" w:hint="cs"/>
          <w:sz w:val="24"/>
          <w:szCs w:val="24"/>
          <w:rtl/>
        </w:rPr>
        <w:t xml:space="preserve">" (ת/1 מיום 18.2.21 משעה 22:35), </w:t>
      </w:r>
      <w:r w:rsidRPr="00091581">
        <w:rPr>
          <w:rFonts w:ascii="David" w:hAnsi="David" w:cs="David" w:hint="cs"/>
          <w:sz w:val="24"/>
          <w:szCs w:val="24"/>
          <w:u w:val="single"/>
          <w:rtl/>
        </w:rPr>
        <w:t>וה</w:t>
      </w:r>
      <w:r>
        <w:rPr>
          <w:rFonts w:ascii="David" w:hAnsi="David" w:cs="David" w:hint="cs"/>
          <w:sz w:val="24"/>
          <w:szCs w:val="24"/>
          <w:u w:val="single"/>
          <w:rtl/>
        </w:rPr>
        <w:t xml:space="preserve">לה </w:t>
      </w:r>
      <w:r w:rsidRPr="00091581">
        <w:rPr>
          <w:rFonts w:ascii="David" w:hAnsi="David" w:cs="David" w:hint="cs"/>
          <w:sz w:val="24"/>
          <w:szCs w:val="24"/>
          <w:u w:val="single"/>
          <w:rtl/>
        </w:rPr>
        <w:t>מסר את הגרסה הבסיסית עליה חזר עד תום חקירותיו כחשוד</w:t>
      </w:r>
      <w:r>
        <w:rPr>
          <w:rFonts w:ascii="David" w:hAnsi="David" w:cs="David" w:hint="cs"/>
          <w:sz w:val="24"/>
          <w:szCs w:val="24"/>
          <w:u w:val="single"/>
          <w:rtl/>
        </w:rPr>
        <w:t xml:space="preserve"> וכבר נסקרה לעיל</w:t>
      </w:r>
      <w:r w:rsidRPr="00040196">
        <w:rPr>
          <w:rFonts w:ascii="David" w:hAnsi="David" w:cs="David" w:hint="cs"/>
          <w:sz w:val="24"/>
          <w:szCs w:val="24"/>
          <w:rtl/>
        </w:rPr>
        <w:t xml:space="preserve">, והיא כי לאחר המסדר שנערך לכל לוחמי היחידה במועדון, הוא והמנוח חזרו לחדרם; הנאשם ביקש מהמנוח לשמור על האקדח והרובה שלו (של הנאשם) משום שהוא (הנאשם) רצה לגשת לשירותים; הנאשם ניגש לשירותים וכשחזר כעבור כ 5 דקות - </w:t>
      </w:r>
    </w:p>
    <w:p w:rsidR="00272CAC" w:rsidRPr="00D472EE"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tl/>
        </w:rPr>
      </w:pPr>
      <w:r w:rsidRPr="005546AC">
        <w:rPr>
          <w:rFonts w:ascii="David" w:hAnsi="David" w:cs="David" w:hint="cs"/>
          <w:sz w:val="24"/>
          <w:szCs w:val="24"/>
          <w:rtl/>
        </w:rPr>
        <w:t>"</w:t>
      </w:r>
      <w:r>
        <w:rPr>
          <w:rFonts w:ascii="David" w:hAnsi="David" w:cs="David" w:hint="cs"/>
          <w:sz w:val="24"/>
          <w:szCs w:val="24"/>
          <w:rtl/>
        </w:rPr>
        <w:t xml:space="preserve">(...) </w:t>
      </w:r>
      <w:r w:rsidRPr="005546AC">
        <w:rPr>
          <w:rFonts w:ascii="David" w:hAnsi="David" w:cs="David" w:hint="cs"/>
          <w:b/>
          <w:bCs/>
          <w:sz w:val="24"/>
          <w:szCs w:val="24"/>
          <w:rtl/>
        </w:rPr>
        <w:t>ראיתי שנעים שו</w:t>
      </w:r>
      <w:r>
        <w:rPr>
          <w:rFonts w:ascii="David" w:hAnsi="David" w:cs="David" w:hint="cs"/>
          <w:b/>
          <w:bCs/>
          <w:sz w:val="24"/>
          <w:szCs w:val="24"/>
          <w:rtl/>
        </w:rPr>
        <w:t>כ</w:t>
      </w:r>
      <w:r w:rsidRPr="005546AC">
        <w:rPr>
          <w:rFonts w:ascii="David" w:hAnsi="David" w:cs="David" w:hint="cs"/>
          <w:b/>
          <w:bCs/>
          <w:sz w:val="24"/>
          <w:szCs w:val="24"/>
          <w:rtl/>
        </w:rPr>
        <w:t xml:space="preserve">ב במיטה שלו מכוסה עד החזה עם השמיכה עם יד ימין על האקדח על החזה והיד השניה לצד הגוף. ראיתי את </w:t>
      </w:r>
      <w:r w:rsidRPr="005546AC">
        <w:rPr>
          <w:rFonts w:ascii="David" w:hAnsi="David" w:cs="David" w:hint="cs"/>
          <w:b/>
          <w:bCs/>
          <w:sz w:val="24"/>
          <w:szCs w:val="24"/>
        </w:rPr>
        <w:t>M16</w:t>
      </w:r>
      <w:r w:rsidRPr="005546AC">
        <w:rPr>
          <w:rFonts w:ascii="David" w:hAnsi="David" w:cs="David" w:hint="cs"/>
          <w:b/>
          <w:bCs/>
          <w:sz w:val="24"/>
          <w:szCs w:val="24"/>
          <w:rtl/>
        </w:rPr>
        <w:t xml:space="preserve"> שלי על המיטה שלי. הסתובבתי לכיוון של מיטה של נעים ושאלתי אותו: 'נעים איפה האקדח שלי'? הוא לא ענה. התקדמתי לכיוון של נעים וראיתי דם על הפנים שלו, התחלתי לצעוק, נבהלתי ויצאתי בריצה מהחדר.. האקדח שהיה על החזה של נעים זה אקדח שלי..".</w:t>
      </w:r>
      <w:r w:rsidRPr="005546AC">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sidRPr="005546AC">
        <w:rPr>
          <w:rFonts w:ascii="David" w:hAnsi="David" w:cs="David" w:hint="cs"/>
          <w:sz w:val="24"/>
          <w:szCs w:val="24"/>
          <w:rtl/>
        </w:rPr>
        <w:t xml:space="preserve">בהמשך, מסר הנאשם כי באותו יום המנוח נראה עצבני ובדרך חזרה מהר מירון (שם היתה היחידה בפעילות) לבסיס, שוחח המנוח בטלפון עם אביו ואמר לו שהוא אינו מעוניין להישאר ביחידה.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בסביבות השעה 01:00 דוּוְחה ראש שלוחת חוף של מח"ש אודות אינדיקציות רבות ושפורטו לעיל, ולפיהן המנוח לא התאבד. החשד נפל מטבע הדברים על הנאשם. לכן, הנחתה ראש השלוחה את חוקריה שכבר שהו במקום לעכב את הנאשם (ר' בנדון מזכרה של ראש השלוחה ת/84).</w:t>
      </w:r>
    </w:p>
    <w:p w:rsidR="00272CAC" w:rsidRPr="00D75804"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יוער כי בהמשך החקירה התקבלו ממצאים רבים נוספים ששללו התאבדות. לדוגמה, המרכז לרפואה משפטית הפנה לכך כי מיקום הפגיעה וכן היעדר סימני ירי משניים (פיח וסימני אבק שריפה) סמוך לפצע כניסת הקליע, מצביעים על פני הדברים שאין מדובר בהתאבדות (ר' בנדון המסמך ת/123 וכן חוות הדעת ת/124). נוכח יריעת המחלוקת לא נרחיב בנדון.</w:t>
      </w:r>
    </w:p>
    <w:p w:rsidR="00272CAC" w:rsidRDefault="00272CAC" w:rsidP="00272CAC">
      <w:pPr>
        <w:pStyle w:val="ac"/>
        <w:spacing w:after="0" w:line="360" w:lineRule="auto"/>
        <w:ind w:left="360"/>
        <w:jc w:val="both"/>
        <w:rPr>
          <w:rFonts w:ascii="David" w:hAnsi="David" w:cs="David"/>
          <w:sz w:val="24"/>
          <w:szCs w:val="24"/>
          <w:rtl/>
        </w:rPr>
      </w:pPr>
    </w:p>
    <w:p w:rsidR="00272CAC" w:rsidRPr="00D75804" w:rsidRDefault="00272CAC" w:rsidP="00272CAC">
      <w:pPr>
        <w:pStyle w:val="ac"/>
        <w:numPr>
          <w:ilvl w:val="0"/>
          <w:numId w:val="14"/>
        </w:numPr>
        <w:spacing w:after="0" w:line="360" w:lineRule="auto"/>
        <w:jc w:val="both"/>
        <w:rPr>
          <w:rFonts w:ascii="David" w:hAnsi="David" w:cs="David"/>
          <w:sz w:val="24"/>
          <w:szCs w:val="24"/>
        </w:rPr>
      </w:pPr>
      <w:r w:rsidRPr="00D75804">
        <w:rPr>
          <w:rFonts w:ascii="David" w:hAnsi="David" w:cs="David" w:hint="cs"/>
          <w:sz w:val="24"/>
          <w:szCs w:val="24"/>
          <w:rtl/>
        </w:rPr>
        <w:t>בשעה 03:10 נחקר הנאשם לראשונה באזהרה, וחזר על גרסתו לעיל (ת/2)</w:t>
      </w:r>
      <w:r>
        <w:rPr>
          <w:rFonts w:ascii="David" w:hAnsi="David" w:cs="David" w:hint="cs"/>
          <w:sz w:val="24"/>
          <w:szCs w:val="24"/>
          <w:rtl/>
        </w:rPr>
        <w:t xml:space="preserve">. </w:t>
      </w:r>
      <w:r w:rsidRPr="00D75804">
        <w:rPr>
          <w:rFonts w:ascii="David" w:hAnsi="David" w:cs="David" w:hint="cs"/>
          <w:sz w:val="24"/>
          <w:szCs w:val="24"/>
          <w:rtl/>
        </w:rPr>
        <w:t xml:space="preserve">בשעה 05:46 הובא בפני קצין ממונה ובמענה לחשד כנגדו הוא השיב: </w:t>
      </w:r>
      <w:r w:rsidRPr="00D75804">
        <w:rPr>
          <w:rFonts w:ascii="David" w:hAnsi="David" w:cs="David" w:hint="cs"/>
          <w:b/>
          <w:bCs/>
          <w:sz w:val="24"/>
          <w:szCs w:val="24"/>
          <w:rtl/>
        </w:rPr>
        <w:t>"אני לא יודע איך משוטר הפכתי לשעיר לעזאזאל</w:t>
      </w:r>
      <w:r w:rsidRPr="00D75804">
        <w:rPr>
          <w:rFonts w:ascii="David" w:hAnsi="David" w:cs="David" w:hint="cs"/>
          <w:sz w:val="24"/>
          <w:szCs w:val="24"/>
          <w:rtl/>
        </w:rPr>
        <w:t>"</w:t>
      </w:r>
      <w:r>
        <w:rPr>
          <w:rFonts w:ascii="David" w:hAnsi="David" w:cs="David" w:hint="cs"/>
          <w:sz w:val="24"/>
          <w:szCs w:val="24"/>
          <w:rtl/>
        </w:rPr>
        <w:t xml:space="preserve"> (...) </w:t>
      </w:r>
      <w:r w:rsidRPr="00D75804">
        <w:rPr>
          <w:rFonts w:ascii="David" w:hAnsi="David" w:cs="David" w:hint="cs"/>
          <w:sz w:val="24"/>
          <w:szCs w:val="24"/>
          <w:rtl/>
        </w:rPr>
        <w:t xml:space="preserve">(מתוך דו"ח הקצין ממונה, ת/72). </w:t>
      </w:r>
    </w:p>
    <w:p w:rsidR="00272CAC" w:rsidRPr="00531D97" w:rsidRDefault="00272CAC" w:rsidP="00272CAC">
      <w:pPr>
        <w:spacing w:line="360" w:lineRule="auto"/>
        <w:ind w:left="360"/>
        <w:jc w:val="both"/>
        <w:rPr>
          <w:rFonts w:ascii="David" w:hAnsi="David"/>
        </w:rPr>
      </w:pPr>
    </w:p>
    <w:p w:rsidR="00272CAC" w:rsidRPr="00450EF3" w:rsidRDefault="00272CAC" w:rsidP="00272CAC">
      <w:pPr>
        <w:pStyle w:val="ac"/>
        <w:numPr>
          <w:ilvl w:val="0"/>
          <w:numId w:val="14"/>
        </w:numPr>
        <w:spacing w:after="0" w:line="360" w:lineRule="auto"/>
        <w:jc w:val="both"/>
        <w:rPr>
          <w:rFonts w:ascii="David" w:hAnsi="David" w:cs="David"/>
          <w:sz w:val="24"/>
          <w:szCs w:val="24"/>
          <w:rtl/>
        </w:rPr>
      </w:pPr>
      <w:r w:rsidRPr="00450EF3">
        <w:rPr>
          <w:rFonts w:ascii="David" w:hAnsi="David" w:cs="David" w:hint="cs"/>
          <w:sz w:val="24"/>
          <w:szCs w:val="24"/>
          <w:rtl/>
        </w:rPr>
        <w:t>משום צמצום יריעת המחלוקת</w:t>
      </w:r>
      <w:r>
        <w:rPr>
          <w:rFonts w:ascii="David" w:hAnsi="David" w:cs="David" w:hint="cs"/>
          <w:sz w:val="24"/>
          <w:szCs w:val="24"/>
          <w:rtl/>
        </w:rPr>
        <w:t>,</w:t>
      </w:r>
      <w:r w:rsidRPr="00450EF3">
        <w:rPr>
          <w:rFonts w:ascii="David" w:hAnsi="David" w:cs="David" w:hint="cs"/>
          <w:sz w:val="24"/>
          <w:szCs w:val="24"/>
          <w:rtl/>
        </w:rPr>
        <w:t xml:space="preserve"> לא אפרט את יתר אמרות הנאשם. כאמור, גרסתו היתה אחידה, והוא חזר עליה גם בפני חוקריו וגם בשיחות טלפון </w:t>
      </w:r>
      <w:r>
        <w:rPr>
          <w:rFonts w:ascii="David" w:hAnsi="David" w:cs="David" w:hint="cs"/>
          <w:sz w:val="24"/>
          <w:szCs w:val="24"/>
          <w:rtl/>
        </w:rPr>
        <w:t xml:space="preserve">עם אמו </w:t>
      </w:r>
      <w:r w:rsidRPr="00450EF3">
        <w:rPr>
          <w:rFonts w:ascii="David" w:hAnsi="David" w:cs="David" w:hint="cs"/>
          <w:sz w:val="24"/>
          <w:szCs w:val="24"/>
          <w:rtl/>
        </w:rPr>
        <w:t>אותן הצליח "להגניב" בשעות הראשונות של חקירתו כחשוד</w:t>
      </w:r>
      <w:r>
        <w:rPr>
          <w:rFonts w:ascii="David" w:hAnsi="David" w:cs="David" w:hint="cs"/>
          <w:sz w:val="24"/>
          <w:szCs w:val="24"/>
          <w:rtl/>
        </w:rPr>
        <w:t>. אפנה בנדון ל</w:t>
      </w:r>
      <w:r w:rsidRPr="00450EF3">
        <w:rPr>
          <w:rFonts w:ascii="David" w:hAnsi="David" w:cs="David" w:hint="cs"/>
          <w:sz w:val="24"/>
          <w:szCs w:val="24"/>
          <w:rtl/>
        </w:rPr>
        <w:t>שיחות מוקלטות שנפרקו ממכשיר הטלפון של אמו</w:t>
      </w:r>
      <w:r>
        <w:rPr>
          <w:rFonts w:ascii="David" w:hAnsi="David" w:cs="David" w:hint="cs"/>
          <w:sz w:val="24"/>
          <w:szCs w:val="24"/>
          <w:rtl/>
        </w:rPr>
        <w:t xml:space="preserve"> (</w:t>
      </w:r>
      <w:r w:rsidRPr="00450EF3">
        <w:rPr>
          <w:rFonts w:ascii="David" w:hAnsi="David" w:cs="David" w:hint="cs"/>
          <w:sz w:val="24"/>
          <w:szCs w:val="24"/>
          <w:rtl/>
        </w:rPr>
        <w:t>ת/50</w:t>
      </w:r>
      <w:r>
        <w:rPr>
          <w:rFonts w:ascii="David" w:hAnsi="David" w:cs="David" w:hint="cs"/>
          <w:sz w:val="24"/>
          <w:szCs w:val="24"/>
          <w:rtl/>
        </w:rPr>
        <w:t>)</w:t>
      </w:r>
      <w:r w:rsidRPr="00450EF3">
        <w:rPr>
          <w:rFonts w:ascii="David" w:hAnsi="David" w:cs="David" w:hint="cs"/>
          <w:sz w:val="24"/>
          <w:szCs w:val="24"/>
          <w:rtl/>
        </w:rPr>
        <w:t xml:space="preserve">, גם שם טען באוזניה כי המנוח ירה בעצמו. בשיחה בעמוד 5 לתמליל צוין כי אביו של הנאשם נשמע אומר לו שהוא (הנאשם) לא ירה, </w:t>
      </w:r>
      <w:r w:rsidRPr="004325D0">
        <w:rPr>
          <w:rFonts w:ascii="David" w:hAnsi="David" w:cs="David" w:hint="cs"/>
          <w:sz w:val="24"/>
          <w:szCs w:val="24"/>
          <w:u w:val="single"/>
          <w:rtl/>
        </w:rPr>
        <w:t>וזו האמת</w:t>
      </w:r>
      <w:r w:rsidRPr="00450EF3">
        <w:rPr>
          <w:rFonts w:ascii="David" w:hAnsi="David" w:cs="David" w:hint="cs"/>
          <w:sz w:val="24"/>
          <w:szCs w:val="24"/>
          <w:rtl/>
        </w:rPr>
        <w:t xml:space="preserve"> (..). מדובר בשיחות שהתקיימו ביום 19.2.21 בשעות הבוקר (ר' בנדון המזכרים ת/53 ות/107 שתיעדו</w:t>
      </w:r>
      <w:r>
        <w:rPr>
          <w:rFonts w:ascii="David" w:hAnsi="David" w:cs="David" w:hint="cs"/>
          <w:sz w:val="24"/>
          <w:szCs w:val="24"/>
          <w:rtl/>
        </w:rPr>
        <w:t xml:space="preserve"> את המועד והשעה בהם ה</w:t>
      </w:r>
      <w:r w:rsidRPr="00450EF3">
        <w:rPr>
          <w:rFonts w:ascii="David" w:hAnsi="David" w:cs="David" w:hint="cs"/>
          <w:sz w:val="24"/>
          <w:szCs w:val="24"/>
          <w:rtl/>
        </w:rPr>
        <w:t>תגלו שיחות אלה בזמן אמת על ידי צוות החקירה</w:t>
      </w:r>
      <w:r>
        <w:rPr>
          <w:rFonts w:ascii="David" w:hAnsi="David" w:cs="David" w:hint="cs"/>
          <w:sz w:val="24"/>
          <w:szCs w:val="24"/>
          <w:rtl/>
        </w:rPr>
        <w:t xml:space="preserve"> בעת צפייה במצלמת חדר החקירות</w:t>
      </w:r>
      <w:r w:rsidRPr="00450EF3">
        <w:rPr>
          <w:rFonts w:ascii="David" w:hAnsi="David" w:cs="David" w:hint="cs"/>
          <w:sz w:val="24"/>
          <w:szCs w:val="24"/>
          <w:rtl/>
        </w:rPr>
        <w:t>).</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במהלך ימי חקירתו ובעודו עצור הוטחו בפניו שוב ושוב כלל הראיות הפורנזיות והאחרות, שהצביעו כי הוא היורה; נאמר לו לא פעם כי מדובר בזירה "המדברת בעד עצמה" (התייחסתי לעיקר הממצאים בקצרה לעיל), אך הנאשם נותר איתן בדעתו ושב וטען כי בעת הירי הוא שהה בשירותים.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רק לצורך הדוגמה אפנה ל</w:t>
      </w:r>
      <w:r w:rsidRPr="003802AE">
        <w:rPr>
          <w:rFonts w:ascii="David" w:hAnsi="David" w:cs="David" w:hint="cs"/>
          <w:sz w:val="24"/>
          <w:szCs w:val="24"/>
          <w:rtl/>
        </w:rPr>
        <w:t xml:space="preserve">חקירתו הרביעית במשטרה </w:t>
      </w:r>
      <w:r>
        <w:rPr>
          <w:rFonts w:ascii="David" w:hAnsi="David" w:cs="David" w:hint="cs"/>
          <w:sz w:val="24"/>
          <w:szCs w:val="24"/>
          <w:rtl/>
        </w:rPr>
        <w:t>(ת/4 מיום 20.2.21), אז נשאל ב</w:t>
      </w:r>
      <w:r w:rsidRPr="003802AE">
        <w:rPr>
          <w:rFonts w:ascii="David" w:hAnsi="David" w:cs="David" w:hint="cs"/>
          <w:sz w:val="24"/>
          <w:szCs w:val="24"/>
          <w:rtl/>
        </w:rPr>
        <w:t>אם הוא מוכן להסתכל לאביו של הנאשם בעיניים והשיב "</w:t>
      </w:r>
      <w:r w:rsidRPr="00BA71F0">
        <w:rPr>
          <w:rFonts w:ascii="David" w:hAnsi="David" w:cs="David" w:hint="cs"/>
          <w:b/>
          <w:bCs/>
          <w:sz w:val="24"/>
          <w:szCs w:val="24"/>
          <w:rtl/>
        </w:rPr>
        <w:t>הלב שלי נקי</w:t>
      </w:r>
      <w:r w:rsidRPr="003802AE">
        <w:rPr>
          <w:rFonts w:ascii="David" w:hAnsi="David" w:cs="David" w:hint="cs"/>
          <w:sz w:val="24"/>
          <w:szCs w:val="24"/>
          <w:rtl/>
        </w:rPr>
        <w:t>"</w:t>
      </w:r>
      <w:r>
        <w:rPr>
          <w:rFonts w:ascii="David" w:hAnsi="David" w:cs="David" w:hint="cs"/>
          <w:sz w:val="24"/>
          <w:szCs w:val="24"/>
          <w:rtl/>
        </w:rPr>
        <w:t xml:space="preserve"> (שם, ש</w:t>
      </w:r>
      <w:r w:rsidRPr="003802AE">
        <w:rPr>
          <w:rFonts w:ascii="David" w:hAnsi="David" w:cs="David" w:hint="cs"/>
          <w:sz w:val="24"/>
          <w:szCs w:val="24"/>
          <w:rtl/>
        </w:rPr>
        <w:t>ורות 23-24</w:t>
      </w:r>
      <w:r>
        <w:rPr>
          <w:rFonts w:ascii="David" w:hAnsi="David" w:cs="David" w:hint="cs"/>
          <w:sz w:val="24"/>
          <w:szCs w:val="24"/>
          <w:rtl/>
        </w:rPr>
        <w:t>).</w:t>
      </w:r>
    </w:p>
    <w:p w:rsidR="00272CAC" w:rsidRPr="00BA71F0"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sidRPr="00450EF3">
        <w:rPr>
          <w:rFonts w:ascii="David" w:hAnsi="David" w:cs="David" w:hint="cs"/>
          <w:sz w:val="24"/>
          <w:szCs w:val="24"/>
          <w:rtl/>
        </w:rPr>
        <w:t xml:space="preserve">אתמקד בסוגיות הרלוונטיות </w:t>
      </w:r>
      <w:r w:rsidRPr="00450EF3">
        <w:rPr>
          <w:rFonts w:ascii="David" w:hAnsi="David" w:cs="David" w:hint="cs"/>
          <w:sz w:val="24"/>
          <w:szCs w:val="24"/>
          <w:u w:val="single"/>
          <w:rtl/>
        </w:rPr>
        <w:t>כיום</w:t>
      </w:r>
      <w:r w:rsidRPr="00450EF3">
        <w:rPr>
          <w:rFonts w:ascii="David" w:hAnsi="David" w:cs="David" w:hint="cs"/>
          <w:sz w:val="24"/>
          <w:szCs w:val="24"/>
          <w:rtl/>
        </w:rPr>
        <w:t xml:space="preserve"> ושעלו במהלך חקירות הנאשם.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450EF3">
        <w:rPr>
          <w:rFonts w:ascii="David" w:hAnsi="David" w:cs="David" w:hint="cs"/>
          <w:sz w:val="24"/>
          <w:szCs w:val="24"/>
          <w:rtl/>
        </w:rPr>
        <w:t xml:space="preserve">הנאשם תיאר את תפקידו כלוחם במג"ב, ואישר כי עבר תדריכים ותרגולות ירי רבות ברובה ובאקדח. זאת ועוד, הנאשם אישר כי הותר לו לשאת אקדח רק לאחר שעבר הסמכה לכך ולאחר שסיים קורס ללוחמה בטרור שכלל הדרכות, תרגולים וירי באקדח. </w:t>
      </w:r>
    </w:p>
    <w:p w:rsidR="00272CAC" w:rsidRDefault="00272CAC" w:rsidP="00272CAC">
      <w:pPr>
        <w:pStyle w:val="ac"/>
        <w:spacing w:after="0" w:line="360" w:lineRule="auto"/>
        <w:ind w:left="360"/>
        <w:jc w:val="both"/>
        <w:rPr>
          <w:rFonts w:ascii="David" w:hAnsi="David" w:cs="David"/>
          <w:sz w:val="24"/>
          <w:szCs w:val="24"/>
          <w:rtl/>
        </w:rPr>
      </w:pPr>
    </w:p>
    <w:p w:rsidR="00272CAC" w:rsidRPr="00450EF3" w:rsidRDefault="00272CAC" w:rsidP="00272CAC">
      <w:pPr>
        <w:pStyle w:val="ac"/>
        <w:spacing w:after="0" w:line="360" w:lineRule="auto"/>
        <w:ind w:left="360"/>
        <w:jc w:val="both"/>
        <w:rPr>
          <w:rFonts w:ascii="David" w:hAnsi="David" w:cs="David"/>
          <w:sz w:val="24"/>
          <w:szCs w:val="24"/>
        </w:rPr>
      </w:pPr>
      <w:r w:rsidRPr="00450EF3">
        <w:rPr>
          <w:rFonts w:ascii="David" w:hAnsi="David" w:cs="David" w:hint="cs"/>
          <w:sz w:val="24"/>
          <w:szCs w:val="24"/>
          <w:rtl/>
        </w:rPr>
        <w:t xml:space="preserve">הנאשם הוסיף שהוא יודע כיצד פורקים אקדח; ושפריקת האקדח האחרונה אותה היה אמור לבצע, כפי שאכן התרחש, היתה בסיום המטווח האחרון שעבר כ 3-4 שבועות לפני האירוע (בנדון הוגש ת/43 </w:t>
      </w:r>
      <w:r>
        <w:rPr>
          <w:rFonts w:ascii="David" w:hAnsi="David" w:cs="David" w:hint="cs"/>
          <w:sz w:val="24"/>
          <w:szCs w:val="24"/>
          <w:rtl/>
        </w:rPr>
        <w:t xml:space="preserve">- </w:t>
      </w:r>
      <w:r w:rsidRPr="00450EF3">
        <w:rPr>
          <w:rFonts w:ascii="David" w:hAnsi="David" w:cs="David" w:hint="cs"/>
          <w:sz w:val="24"/>
          <w:szCs w:val="24"/>
          <w:rtl/>
        </w:rPr>
        <w:t xml:space="preserve">אישור על מטווח שערך הנאשם ביום 20.1.21). הנאשם מסר </w:t>
      </w:r>
      <w:r>
        <w:rPr>
          <w:rFonts w:ascii="David" w:hAnsi="David" w:cs="David" w:hint="cs"/>
          <w:sz w:val="24"/>
          <w:szCs w:val="24"/>
          <w:rtl/>
        </w:rPr>
        <w:t>ש</w:t>
      </w:r>
      <w:r w:rsidRPr="00450EF3">
        <w:rPr>
          <w:rFonts w:ascii="David" w:hAnsi="David" w:cs="David" w:hint="cs"/>
          <w:sz w:val="24"/>
          <w:szCs w:val="24"/>
          <w:rtl/>
        </w:rPr>
        <w:t xml:space="preserve">פריקה שכזו מבוצעת רק בנוכחת קצין ובסיומה המחסנית צריכה להישאר ב"הכנס", היינו בתוך האקדח. </w:t>
      </w:r>
    </w:p>
    <w:p w:rsidR="00272CAC" w:rsidRPr="00450EF3" w:rsidRDefault="00272CAC" w:rsidP="00272CAC">
      <w:pPr>
        <w:pStyle w:val="ac"/>
        <w:rPr>
          <w:rFonts w:ascii="David" w:hAnsi="David" w:cs="David"/>
          <w:sz w:val="24"/>
          <w:szCs w:val="24"/>
          <w:rtl/>
        </w:rPr>
      </w:pPr>
    </w:p>
    <w:p w:rsidR="00272CAC" w:rsidRPr="00450EF3" w:rsidRDefault="00272CAC" w:rsidP="00272CAC">
      <w:pPr>
        <w:pStyle w:val="ac"/>
        <w:spacing w:after="0" w:line="360" w:lineRule="auto"/>
        <w:ind w:left="360"/>
        <w:jc w:val="both"/>
        <w:rPr>
          <w:rFonts w:ascii="David" w:hAnsi="David" w:cs="David"/>
          <w:sz w:val="24"/>
          <w:szCs w:val="24"/>
          <w:rtl/>
        </w:rPr>
      </w:pPr>
      <w:r w:rsidRPr="00450EF3">
        <w:rPr>
          <w:rFonts w:ascii="David" w:hAnsi="David" w:cs="David" w:hint="cs"/>
          <w:sz w:val="24"/>
          <w:szCs w:val="24"/>
          <w:rtl/>
        </w:rPr>
        <w:lastRenderedPageBreak/>
        <w:t>הנאשם אף אישר מפורשות שהוא מודע לסכנות הטמונות בשימוש לא נכון באקדח. כך, בת/5 מיום 21.2.21 שורה 126 ואילך הוא השיב כך:</w:t>
      </w:r>
    </w:p>
    <w:p w:rsidR="00272CAC" w:rsidRDefault="00272CAC" w:rsidP="00272CAC">
      <w:pPr>
        <w:pStyle w:val="ac"/>
        <w:spacing w:after="0" w:line="360" w:lineRule="auto"/>
        <w:ind w:left="360"/>
        <w:jc w:val="both"/>
        <w:rPr>
          <w:rFonts w:ascii="David" w:hAnsi="David" w:cs="David"/>
          <w:sz w:val="24"/>
          <w:szCs w:val="24"/>
          <w:rtl/>
        </w:rPr>
      </w:pPr>
    </w:p>
    <w:p w:rsidR="00272CAC" w:rsidRPr="005546AC" w:rsidRDefault="00272CAC" w:rsidP="00272CAC">
      <w:pPr>
        <w:pStyle w:val="ac"/>
        <w:spacing w:after="0" w:line="360" w:lineRule="auto"/>
        <w:ind w:left="360"/>
        <w:jc w:val="both"/>
        <w:rPr>
          <w:rFonts w:ascii="David" w:hAnsi="David" w:cs="David"/>
          <w:b/>
          <w:bCs/>
          <w:sz w:val="24"/>
          <w:szCs w:val="24"/>
          <w:rtl/>
        </w:rPr>
      </w:pPr>
      <w:r w:rsidRPr="005546AC">
        <w:rPr>
          <w:rFonts w:ascii="David" w:hAnsi="David" w:cs="David" w:hint="cs"/>
          <w:b/>
          <w:bCs/>
          <w:sz w:val="24"/>
          <w:szCs w:val="24"/>
          <w:rtl/>
        </w:rPr>
        <w:t xml:space="preserve">שאלה: </w:t>
      </w:r>
      <w:r w:rsidRPr="005546AC">
        <w:rPr>
          <w:rFonts w:ascii="David" w:hAnsi="David" w:cs="David"/>
          <w:b/>
          <w:bCs/>
          <w:sz w:val="24"/>
          <w:szCs w:val="24"/>
          <w:rtl/>
        </w:rPr>
        <w:tab/>
      </w:r>
      <w:r w:rsidRPr="005546AC">
        <w:rPr>
          <w:rFonts w:ascii="David" w:hAnsi="David" w:cs="David" w:hint="cs"/>
          <w:b/>
          <w:bCs/>
          <w:sz w:val="24"/>
          <w:szCs w:val="24"/>
          <w:rtl/>
        </w:rPr>
        <w:t>האם מותר לך להוציא מחסנית מאקדח ולכוון אותו לעבר אחרים ולבצע נקירה?</w:t>
      </w:r>
    </w:p>
    <w:p w:rsidR="00272CAC" w:rsidRPr="005546AC" w:rsidRDefault="00272CAC" w:rsidP="00272CAC">
      <w:pPr>
        <w:pStyle w:val="ac"/>
        <w:spacing w:after="0" w:line="360" w:lineRule="auto"/>
        <w:ind w:left="360"/>
        <w:jc w:val="both"/>
        <w:rPr>
          <w:rFonts w:ascii="David" w:hAnsi="David" w:cs="David"/>
          <w:b/>
          <w:bCs/>
          <w:sz w:val="24"/>
          <w:szCs w:val="24"/>
          <w:rtl/>
        </w:rPr>
      </w:pPr>
      <w:r w:rsidRPr="005546AC">
        <w:rPr>
          <w:rFonts w:ascii="David" w:hAnsi="David" w:cs="David" w:hint="cs"/>
          <w:b/>
          <w:bCs/>
          <w:sz w:val="24"/>
          <w:szCs w:val="24"/>
          <w:rtl/>
        </w:rPr>
        <w:t>תשובה:</w:t>
      </w:r>
      <w:r w:rsidRPr="005546AC">
        <w:rPr>
          <w:rFonts w:ascii="David" w:hAnsi="David" w:cs="David"/>
          <w:b/>
          <w:bCs/>
          <w:sz w:val="24"/>
          <w:szCs w:val="24"/>
          <w:rtl/>
        </w:rPr>
        <w:tab/>
      </w:r>
      <w:r w:rsidRPr="005546AC">
        <w:rPr>
          <w:rFonts w:ascii="David" w:hAnsi="David" w:cs="David" w:hint="cs"/>
          <w:b/>
          <w:bCs/>
          <w:sz w:val="24"/>
          <w:szCs w:val="24"/>
          <w:rtl/>
        </w:rPr>
        <w:t>לא.</w:t>
      </w:r>
    </w:p>
    <w:p w:rsidR="00272CAC" w:rsidRPr="005546AC" w:rsidRDefault="00272CAC" w:rsidP="00272CAC">
      <w:pPr>
        <w:pStyle w:val="ac"/>
        <w:spacing w:after="0" w:line="360" w:lineRule="auto"/>
        <w:ind w:left="360"/>
        <w:jc w:val="both"/>
        <w:rPr>
          <w:rFonts w:ascii="David" w:hAnsi="David" w:cs="David"/>
          <w:b/>
          <w:bCs/>
          <w:sz w:val="24"/>
          <w:szCs w:val="24"/>
          <w:rtl/>
        </w:rPr>
      </w:pPr>
      <w:r w:rsidRPr="005546AC">
        <w:rPr>
          <w:rFonts w:ascii="David" w:hAnsi="David" w:cs="David" w:hint="cs"/>
          <w:b/>
          <w:bCs/>
          <w:sz w:val="24"/>
          <w:szCs w:val="24"/>
          <w:rtl/>
        </w:rPr>
        <w:t xml:space="preserve">שאלה: </w:t>
      </w:r>
      <w:r w:rsidRPr="005546AC">
        <w:rPr>
          <w:rFonts w:ascii="David" w:hAnsi="David" w:cs="David"/>
          <w:b/>
          <w:bCs/>
          <w:sz w:val="24"/>
          <w:szCs w:val="24"/>
          <w:rtl/>
        </w:rPr>
        <w:tab/>
      </w:r>
      <w:r w:rsidRPr="005546AC">
        <w:rPr>
          <w:rFonts w:ascii="David" w:hAnsi="David" w:cs="David" w:hint="cs"/>
          <w:b/>
          <w:bCs/>
          <w:sz w:val="24"/>
          <w:szCs w:val="24"/>
          <w:rtl/>
        </w:rPr>
        <w:t>לא מה?</w:t>
      </w:r>
    </w:p>
    <w:p w:rsidR="00272CAC" w:rsidRPr="005546AC" w:rsidRDefault="00272CAC" w:rsidP="00272CAC">
      <w:pPr>
        <w:pStyle w:val="ac"/>
        <w:spacing w:after="0" w:line="360" w:lineRule="auto"/>
        <w:ind w:left="360"/>
        <w:jc w:val="both"/>
        <w:rPr>
          <w:rFonts w:ascii="David" w:hAnsi="David" w:cs="David"/>
          <w:b/>
          <w:bCs/>
          <w:sz w:val="24"/>
          <w:szCs w:val="24"/>
          <w:rtl/>
        </w:rPr>
      </w:pPr>
      <w:r w:rsidRPr="005546AC">
        <w:rPr>
          <w:rFonts w:ascii="David" w:hAnsi="David" w:cs="David" w:hint="cs"/>
          <w:b/>
          <w:bCs/>
          <w:sz w:val="24"/>
          <w:szCs w:val="24"/>
          <w:rtl/>
        </w:rPr>
        <w:t xml:space="preserve">תשובה: </w:t>
      </w:r>
      <w:r w:rsidRPr="005546AC">
        <w:rPr>
          <w:rFonts w:ascii="David" w:hAnsi="David" w:cs="David"/>
          <w:b/>
          <w:bCs/>
          <w:sz w:val="24"/>
          <w:szCs w:val="24"/>
          <w:rtl/>
        </w:rPr>
        <w:tab/>
      </w:r>
      <w:r w:rsidRPr="005546AC">
        <w:rPr>
          <w:rFonts w:ascii="David" w:hAnsi="David" w:cs="David" w:hint="cs"/>
          <w:b/>
          <w:bCs/>
          <w:sz w:val="24"/>
          <w:szCs w:val="24"/>
          <w:rtl/>
        </w:rPr>
        <w:t>כי יכול להיות כדור בבית הבליעה</w:t>
      </w:r>
      <w:r>
        <w:rPr>
          <w:rFonts w:ascii="David" w:hAnsi="David" w:cs="David" w:hint="cs"/>
          <w:b/>
          <w:bCs/>
          <w:sz w:val="24"/>
          <w:szCs w:val="24"/>
          <w:rtl/>
        </w:rPr>
        <w:t>.</w:t>
      </w:r>
    </w:p>
    <w:p w:rsidR="00272CAC" w:rsidRPr="005546AC" w:rsidRDefault="00272CAC" w:rsidP="00272CAC">
      <w:pPr>
        <w:pStyle w:val="ac"/>
        <w:spacing w:after="0" w:line="360" w:lineRule="auto"/>
        <w:ind w:left="360"/>
        <w:jc w:val="both"/>
        <w:rPr>
          <w:rFonts w:ascii="David" w:hAnsi="David" w:cs="David"/>
          <w:b/>
          <w:bCs/>
          <w:sz w:val="24"/>
          <w:szCs w:val="24"/>
          <w:rtl/>
        </w:rPr>
      </w:pPr>
      <w:r w:rsidRPr="005546AC">
        <w:rPr>
          <w:rFonts w:ascii="David" w:hAnsi="David" w:cs="David" w:hint="cs"/>
          <w:b/>
          <w:bCs/>
          <w:sz w:val="24"/>
          <w:szCs w:val="24"/>
          <w:rtl/>
        </w:rPr>
        <w:t xml:space="preserve">שאלה: </w:t>
      </w:r>
      <w:r w:rsidRPr="005546AC">
        <w:rPr>
          <w:rFonts w:ascii="David" w:hAnsi="David" w:cs="David"/>
          <w:b/>
          <w:bCs/>
          <w:sz w:val="24"/>
          <w:szCs w:val="24"/>
          <w:rtl/>
        </w:rPr>
        <w:tab/>
      </w:r>
      <w:r w:rsidRPr="005546AC">
        <w:rPr>
          <w:rFonts w:ascii="David" w:hAnsi="David" w:cs="David" w:hint="cs"/>
          <w:b/>
          <w:bCs/>
          <w:sz w:val="24"/>
          <w:szCs w:val="24"/>
          <w:rtl/>
        </w:rPr>
        <w:t>ואם יהיה כדור בבית הבליעה מה יקרה?</w:t>
      </w:r>
    </w:p>
    <w:p w:rsidR="00272CAC" w:rsidRDefault="00272CAC" w:rsidP="00272CAC">
      <w:pPr>
        <w:pStyle w:val="ac"/>
        <w:spacing w:after="0" w:line="360" w:lineRule="auto"/>
        <w:ind w:left="1440" w:hanging="1080"/>
        <w:jc w:val="both"/>
        <w:rPr>
          <w:rFonts w:ascii="David" w:hAnsi="David" w:cs="David"/>
          <w:sz w:val="24"/>
          <w:szCs w:val="24"/>
          <w:rtl/>
        </w:rPr>
      </w:pPr>
      <w:r w:rsidRPr="005546AC">
        <w:rPr>
          <w:rFonts w:ascii="David" w:hAnsi="David" w:cs="David" w:hint="cs"/>
          <w:b/>
          <w:bCs/>
          <w:sz w:val="24"/>
          <w:szCs w:val="24"/>
          <w:rtl/>
        </w:rPr>
        <w:t xml:space="preserve">תשובה: </w:t>
      </w:r>
      <w:r w:rsidRPr="005546AC">
        <w:rPr>
          <w:rFonts w:ascii="David" w:hAnsi="David" w:cs="David"/>
          <w:b/>
          <w:bCs/>
          <w:sz w:val="24"/>
          <w:szCs w:val="24"/>
          <w:rtl/>
        </w:rPr>
        <w:tab/>
      </w:r>
      <w:r w:rsidRPr="005546AC">
        <w:rPr>
          <w:rFonts w:ascii="David" w:hAnsi="David" w:cs="David" w:hint="cs"/>
          <w:b/>
          <w:bCs/>
          <w:sz w:val="24"/>
          <w:szCs w:val="24"/>
          <w:rtl/>
        </w:rPr>
        <w:t xml:space="preserve">כי אם אני יפגע בך </w:t>
      </w:r>
      <w:r w:rsidRPr="005546AC">
        <w:rPr>
          <w:rFonts w:ascii="David" w:hAnsi="David" w:cs="David" w:hint="cs"/>
          <w:sz w:val="24"/>
          <w:szCs w:val="24"/>
          <w:rtl/>
        </w:rPr>
        <w:t xml:space="preserve">(כך במקור </w:t>
      </w:r>
      <w:r w:rsidRPr="005546AC">
        <w:rPr>
          <w:rFonts w:ascii="David" w:hAnsi="David" w:cs="David"/>
          <w:sz w:val="24"/>
          <w:szCs w:val="24"/>
          <w:rtl/>
        </w:rPr>
        <w:t>–</w:t>
      </w:r>
      <w:r w:rsidRPr="005546AC">
        <w:rPr>
          <w:rFonts w:ascii="David" w:hAnsi="David" w:cs="David" w:hint="cs"/>
          <w:sz w:val="24"/>
          <w:szCs w:val="24"/>
          <w:rtl/>
        </w:rPr>
        <w:t xml:space="preserve"> י.ל.)</w:t>
      </w:r>
      <w:r w:rsidRPr="005546AC">
        <w:rPr>
          <w:rFonts w:ascii="David" w:hAnsi="David" w:cs="David" w:hint="cs"/>
          <w:b/>
          <w:bCs/>
          <w:sz w:val="24"/>
          <w:szCs w:val="24"/>
          <w:rtl/>
        </w:rPr>
        <w:t xml:space="preserve"> את יכולה למות חס וחלילה, לא מסכנים חפים מפשע"</w:t>
      </w:r>
      <w:r>
        <w:rPr>
          <w:rFonts w:ascii="David" w:hAnsi="David" w:cs="David" w:hint="cs"/>
          <w:sz w:val="24"/>
          <w:szCs w:val="24"/>
          <w:rtl/>
        </w:rPr>
        <w:t>.</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מעת לעת בחר הנאשם לשמור (לרוב חלקית) על זכות השתיקה (ת/6 עד ת/9); וכשעומת עם הדברים שמסר למדובב ביום 20.2.21 </w:t>
      </w:r>
      <w:r>
        <w:rPr>
          <w:rFonts w:ascii="David" w:hAnsi="David" w:cs="David"/>
          <w:sz w:val="24"/>
          <w:szCs w:val="24"/>
          <w:rtl/>
        </w:rPr>
        <w:t>–</w:t>
      </w:r>
      <w:r>
        <w:rPr>
          <w:rFonts w:ascii="David" w:hAnsi="David" w:cs="David" w:hint="cs"/>
          <w:sz w:val="24"/>
          <w:szCs w:val="24"/>
          <w:rtl/>
        </w:rPr>
        <w:t xml:space="preserve"> ועליהם נעמוד להלן </w:t>
      </w:r>
      <w:r>
        <w:rPr>
          <w:rFonts w:ascii="David" w:hAnsi="David" w:cs="David"/>
          <w:sz w:val="24"/>
          <w:szCs w:val="24"/>
          <w:rtl/>
        </w:rPr>
        <w:t>–</w:t>
      </w:r>
      <w:r>
        <w:rPr>
          <w:rFonts w:ascii="David" w:hAnsi="David" w:cs="David" w:hint="cs"/>
          <w:sz w:val="24"/>
          <w:szCs w:val="24"/>
          <w:rtl/>
        </w:rPr>
        <w:t xml:space="preserve"> טען ש</w:t>
      </w:r>
      <w:r w:rsidRPr="005546AC">
        <w:rPr>
          <w:rFonts w:ascii="David" w:hAnsi="David" w:cs="David" w:hint="cs"/>
          <w:sz w:val="24"/>
          <w:szCs w:val="24"/>
          <w:rtl/>
        </w:rPr>
        <w:t>:"</w:t>
      </w:r>
      <w:r w:rsidRPr="005546AC">
        <w:rPr>
          <w:rFonts w:ascii="David" w:hAnsi="David" w:cs="David" w:hint="cs"/>
          <w:b/>
          <w:bCs/>
          <w:sz w:val="24"/>
          <w:szCs w:val="24"/>
          <w:rtl/>
        </w:rPr>
        <w:t xml:space="preserve">זה מה שסיפרתם </w:t>
      </w:r>
      <w:r w:rsidRPr="00450EF3">
        <w:rPr>
          <w:rFonts w:ascii="David" w:hAnsi="David" w:cs="David" w:hint="cs"/>
          <w:b/>
          <w:bCs/>
          <w:sz w:val="24"/>
          <w:szCs w:val="24"/>
          <w:rtl/>
        </w:rPr>
        <w:t>לי וזה מה שעלה בזירה. וזה מה שאמרתי למדובב ולי אין חלק וקשר לזה</w:t>
      </w:r>
      <w:r w:rsidRPr="00450EF3">
        <w:rPr>
          <w:rFonts w:ascii="David" w:hAnsi="David" w:cs="David" w:hint="cs"/>
          <w:sz w:val="24"/>
          <w:szCs w:val="24"/>
          <w:rtl/>
        </w:rPr>
        <w:t>" (ת/9 מיום 4.3.21,</w:t>
      </w:r>
      <w:r>
        <w:rPr>
          <w:rFonts w:ascii="David" w:hAnsi="David" w:cs="David" w:hint="cs"/>
          <w:sz w:val="24"/>
          <w:szCs w:val="24"/>
          <w:rtl/>
        </w:rPr>
        <w:t xml:space="preserve"> שורה 105); וכן :"</w:t>
      </w:r>
      <w:r w:rsidRPr="005546AC">
        <w:rPr>
          <w:rFonts w:ascii="David" w:hAnsi="David" w:cs="David" w:hint="cs"/>
          <w:b/>
          <w:bCs/>
          <w:sz w:val="24"/>
          <w:szCs w:val="24"/>
          <w:rtl/>
        </w:rPr>
        <w:t>סיפרתי לו מה שחושדים בי ומה שאמרו מיום האירוע</w:t>
      </w:r>
      <w:r>
        <w:rPr>
          <w:rFonts w:ascii="David" w:hAnsi="David" w:cs="David" w:hint="cs"/>
          <w:sz w:val="24"/>
          <w:szCs w:val="24"/>
          <w:rtl/>
        </w:rPr>
        <w:t xml:space="preserve">" (שם, שורה 163). </w:t>
      </w:r>
    </w:p>
    <w:p w:rsidR="00272CAC" w:rsidRDefault="00272CAC" w:rsidP="00272CAC">
      <w:pPr>
        <w:pStyle w:val="ac"/>
        <w:spacing w:after="0" w:line="360" w:lineRule="auto"/>
        <w:ind w:left="360"/>
        <w:jc w:val="both"/>
        <w:rPr>
          <w:rFonts w:ascii="David" w:hAnsi="David" w:cs="David"/>
          <w:sz w:val="24"/>
          <w:szCs w:val="24"/>
        </w:rPr>
      </w:pPr>
    </w:p>
    <w:p w:rsidR="00272CAC" w:rsidRPr="00D472EE" w:rsidRDefault="00272CAC" w:rsidP="00272CAC">
      <w:pPr>
        <w:pStyle w:val="ac"/>
        <w:spacing w:after="0" w:line="360" w:lineRule="auto"/>
        <w:ind w:left="360"/>
        <w:jc w:val="both"/>
        <w:rPr>
          <w:rFonts w:ascii="David" w:hAnsi="David" w:cs="David"/>
          <w:sz w:val="24"/>
          <w:szCs w:val="24"/>
          <w:rtl/>
        </w:rPr>
      </w:pPr>
      <w:r w:rsidRPr="00D472EE">
        <w:rPr>
          <w:rFonts w:ascii="David" w:hAnsi="David" w:cs="David" w:hint="cs"/>
          <w:sz w:val="24"/>
          <w:szCs w:val="24"/>
          <w:rtl/>
        </w:rPr>
        <w:t xml:space="preserve">בנוסף, הכחיש הנאשם מכל וכל את הטענות שמצאו כיום את מקומם באישום מס' 2 וכינה את חבריו שתיארו את מעשיו כשקרנים.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sidRPr="00091581">
        <w:rPr>
          <w:rFonts w:ascii="David" w:hAnsi="David" w:cs="David" w:hint="cs"/>
          <w:b/>
          <w:bCs/>
          <w:sz w:val="24"/>
          <w:szCs w:val="24"/>
          <w:rtl/>
        </w:rPr>
        <w:t>נתעכב כעת על פעולת הדיבוב שבוצעה לנאשם ביום 20.2.21</w:t>
      </w:r>
      <w:r w:rsidRPr="005546AC">
        <w:rPr>
          <w:rFonts w:ascii="David" w:hAnsi="David" w:cs="David" w:hint="cs"/>
          <w:sz w:val="24"/>
          <w:szCs w:val="24"/>
          <w:rtl/>
        </w:rPr>
        <w:t xml:space="preserve">. כיום, מאשר הנאשם לא רק </w:t>
      </w:r>
      <w:r w:rsidRPr="00790E86">
        <w:rPr>
          <w:rFonts w:ascii="David" w:hAnsi="David" w:cs="David" w:hint="cs"/>
          <w:sz w:val="24"/>
          <w:szCs w:val="24"/>
          <w:u w:val="single"/>
          <w:rtl/>
        </w:rPr>
        <w:t>שאמר</w:t>
      </w:r>
      <w:r w:rsidRPr="005546AC">
        <w:rPr>
          <w:rFonts w:ascii="David" w:hAnsi="David" w:cs="David" w:hint="cs"/>
          <w:sz w:val="24"/>
          <w:szCs w:val="24"/>
          <w:rtl/>
        </w:rPr>
        <w:t xml:space="preserve"> למדובב את הדברים (והרי הדברים מוקלטים </w:t>
      </w:r>
      <w:r w:rsidRPr="005546AC">
        <w:rPr>
          <w:rFonts w:ascii="David" w:hAnsi="David" w:cs="David"/>
          <w:sz w:val="24"/>
          <w:szCs w:val="24"/>
          <w:rtl/>
        </w:rPr>
        <w:t>–</w:t>
      </w:r>
      <w:r w:rsidRPr="005546AC">
        <w:rPr>
          <w:rFonts w:ascii="David" w:hAnsi="David" w:cs="David" w:hint="cs"/>
          <w:sz w:val="24"/>
          <w:szCs w:val="24"/>
          <w:rtl/>
        </w:rPr>
        <w:t xml:space="preserve"> ת/13) אלא </w:t>
      </w:r>
      <w:r w:rsidRPr="00790E86">
        <w:rPr>
          <w:rFonts w:ascii="David" w:hAnsi="David" w:cs="David" w:hint="cs"/>
          <w:sz w:val="24"/>
          <w:szCs w:val="24"/>
          <w:u w:val="single"/>
          <w:rtl/>
        </w:rPr>
        <w:t>מאשר גם את אמיתותם</w:t>
      </w:r>
      <w:r>
        <w:rPr>
          <w:rFonts w:ascii="David" w:hAnsi="David" w:cs="David" w:hint="cs"/>
          <w:sz w:val="24"/>
          <w:szCs w:val="24"/>
          <w:u w:val="single"/>
          <w:rtl/>
        </w:rPr>
        <w:t xml:space="preserve">. </w:t>
      </w:r>
      <w:r w:rsidRPr="00790E86">
        <w:rPr>
          <w:rFonts w:ascii="David" w:hAnsi="David" w:cs="David" w:hint="cs"/>
          <w:sz w:val="24"/>
          <w:szCs w:val="24"/>
          <w:u w:val="single"/>
          <w:rtl/>
        </w:rPr>
        <w:t>בכך</w:t>
      </w:r>
      <w:r>
        <w:rPr>
          <w:rFonts w:ascii="David" w:hAnsi="David" w:cs="David" w:hint="cs"/>
          <w:sz w:val="24"/>
          <w:szCs w:val="24"/>
          <w:u w:val="single"/>
          <w:rtl/>
        </w:rPr>
        <w:t xml:space="preserve">, כפי שכבר צוין לעיל, </w:t>
      </w:r>
      <w:r w:rsidRPr="00790E86">
        <w:rPr>
          <w:rFonts w:ascii="David" w:hAnsi="David" w:cs="David" w:hint="cs"/>
          <w:sz w:val="24"/>
          <w:szCs w:val="24"/>
          <w:u w:val="single"/>
          <w:rtl/>
        </w:rPr>
        <w:t xml:space="preserve">"נטש" את טענות הזוטא </w:t>
      </w:r>
      <w:r>
        <w:rPr>
          <w:rFonts w:ascii="David" w:hAnsi="David" w:cs="David" w:hint="cs"/>
          <w:sz w:val="24"/>
          <w:szCs w:val="24"/>
          <w:u w:val="single"/>
          <w:rtl/>
        </w:rPr>
        <w:t xml:space="preserve">ואת יתר הטענות </w:t>
      </w:r>
      <w:r w:rsidRPr="00790E86">
        <w:rPr>
          <w:rFonts w:ascii="David" w:hAnsi="David" w:cs="David" w:hint="cs"/>
          <w:sz w:val="24"/>
          <w:szCs w:val="24"/>
          <w:u w:val="single"/>
          <w:rtl/>
        </w:rPr>
        <w:t>שהעלה בנדון</w:t>
      </w:r>
      <w:r w:rsidRPr="005546AC">
        <w:rPr>
          <w:rFonts w:ascii="David" w:hAnsi="David" w:cs="David" w:hint="cs"/>
          <w:sz w:val="24"/>
          <w:szCs w:val="24"/>
          <w:rtl/>
        </w:rPr>
        <w:t xml:space="preserve">. </w:t>
      </w:r>
    </w:p>
    <w:p w:rsidR="00272CAC" w:rsidRPr="00091581" w:rsidRDefault="00272CAC" w:rsidP="00272CAC">
      <w:pPr>
        <w:pStyle w:val="ac"/>
        <w:spacing w:after="0" w:line="360" w:lineRule="auto"/>
        <w:ind w:left="360"/>
        <w:jc w:val="both"/>
        <w:rPr>
          <w:rFonts w:ascii="David" w:hAnsi="David" w:cs="David"/>
          <w:sz w:val="24"/>
          <w:szCs w:val="24"/>
        </w:rPr>
      </w:pPr>
    </w:p>
    <w:p w:rsidR="00272CAC" w:rsidRDefault="00272CAC" w:rsidP="00272CAC">
      <w:pPr>
        <w:spacing w:line="360" w:lineRule="auto"/>
        <w:ind w:left="360"/>
        <w:jc w:val="both"/>
        <w:rPr>
          <w:rFonts w:ascii="David" w:hAnsi="David"/>
          <w:rtl/>
        </w:rPr>
      </w:pPr>
      <w:r>
        <w:rPr>
          <w:rFonts w:ascii="David" w:hAnsi="David" w:hint="cs"/>
          <w:rtl/>
        </w:rPr>
        <w:t xml:space="preserve">מדו"ח הפעולה של המדובב (ת/12) ומתוצרי הדיבוב (ת/13), עולה כי לאחר היכרות בין השניים במסגרתה מסר המדובב את "סיפור הכיסוי" שלו (שוטר שנעצר בחשד לעבירות אמל"ח), סיפר הנאשם למדובב בשלב הראשון על החשד כנגדו, וכן תיאר לו באופן כללי את מה שמסר לחוקריו, היינו, כי הלך לשירותים, ואז המנוח התאבד עם אקדחו של הנאשם.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בהמשך, המדובב מסר לנאשם על חששו מתוצאות בדיקת מז"פ, וגם הנאשם ציין שגם הוא חושש מתוצאות בדיקת מז"פ. בשלב זה הנאשם הודה ששיקר; שהמנוח לא התאבד; ששניהם נהגו לשחק בנשק; וההמשך תואר על ידי הנאשם כך (עמ' 23 לתמלול):  </w:t>
      </w:r>
    </w:p>
    <w:p w:rsidR="00272CAC" w:rsidRDefault="00272CAC" w:rsidP="00272CAC">
      <w:pPr>
        <w:spacing w:line="360" w:lineRule="auto"/>
        <w:ind w:left="360"/>
        <w:jc w:val="both"/>
        <w:rPr>
          <w:rFonts w:ascii="David" w:hAnsi="David"/>
          <w:rtl/>
        </w:rPr>
      </w:pPr>
    </w:p>
    <w:p w:rsidR="00272CAC" w:rsidRPr="00651B59" w:rsidRDefault="00272CAC" w:rsidP="00272CAC">
      <w:pPr>
        <w:spacing w:line="360" w:lineRule="auto"/>
        <w:ind w:left="1440" w:hanging="1080"/>
        <w:jc w:val="both"/>
        <w:rPr>
          <w:rFonts w:ascii="David" w:hAnsi="David"/>
          <w:b/>
          <w:bCs/>
          <w:rtl/>
        </w:rPr>
      </w:pPr>
      <w:r>
        <w:rPr>
          <w:rFonts w:ascii="David" w:hAnsi="David" w:hint="cs"/>
          <w:rtl/>
        </w:rPr>
        <w:lastRenderedPageBreak/>
        <w:t>"</w:t>
      </w:r>
      <w:r w:rsidRPr="00651B59">
        <w:rPr>
          <w:rFonts w:ascii="David" w:hAnsi="David" w:hint="cs"/>
          <w:b/>
          <w:bCs/>
          <w:rtl/>
        </w:rPr>
        <w:t>הנאשם:</w:t>
      </w:r>
      <w:r w:rsidRPr="00651B59">
        <w:rPr>
          <w:rFonts w:ascii="David" w:hAnsi="David"/>
          <w:b/>
          <w:bCs/>
          <w:rtl/>
        </w:rPr>
        <w:tab/>
      </w:r>
      <w:r w:rsidRPr="00651B59">
        <w:rPr>
          <w:rFonts w:ascii="David" w:hAnsi="David" w:hint="cs"/>
          <w:b/>
          <w:bCs/>
          <w:rtl/>
        </w:rPr>
        <w:t>... שיחקנו זה, ואתה יודע על היום</w:t>
      </w:r>
      <w:r w:rsidRPr="00790E86">
        <w:rPr>
          <w:rFonts w:ascii="David" w:hAnsi="David" w:hint="cs"/>
          <w:b/>
          <w:bCs/>
          <w:u w:val="single"/>
          <w:rtl/>
        </w:rPr>
        <w:t xml:space="preserve"> כל יום אנחנו במשחקים זה, מרגיש את חידוש הקשר ואת הביטול סרק פתאום טאק, עף כדור? ישר לראש שלו... הוא היה במיטה מכוסה עד פה. אני הייתי, כזה אלכסוני</w:t>
      </w:r>
      <w:r w:rsidRPr="00651B59">
        <w:rPr>
          <w:rFonts w:ascii="David" w:hAnsi="David" w:hint="cs"/>
          <w:b/>
          <w:bCs/>
          <w:rtl/>
        </w:rPr>
        <w:t>..</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מדובב:</w:t>
      </w:r>
      <w:r w:rsidRPr="00651B59">
        <w:rPr>
          <w:rFonts w:ascii="David" w:hAnsi="David"/>
          <w:b/>
          <w:bCs/>
          <w:rtl/>
        </w:rPr>
        <w:tab/>
      </w:r>
      <w:r w:rsidRPr="00651B59">
        <w:rPr>
          <w:rFonts w:ascii="David" w:hAnsi="David" w:hint="cs"/>
          <w:b/>
          <w:bCs/>
          <w:rtl/>
        </w:rPr>
        <w:t>והוא (מל"ב)..</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הנאשם:</w:t>
      </w:r>
      <w:r w:rsidRPr="00651B59">
        <w:rPr>
          <w:rFonts w:ascii="David" w:hAnsi="David"/>
          <w:b/>
          <w:bCs/>
          <w:rtl/>
        </w:rPr>
        <w:tab/>
      </w:r>
      <w:r w:rsidRPr="00651B59">
        <w:rPr>
          <w:rFonts w:ascii="David" w:hAnsi="David" w:hint="cs"/>
          <w:b/>
          <w:bCs/>
          <w:rtl/>
        </w:rPr>
        <w:t xml:space="preserve">כן, פתאום </w:t>
      </w:r>
      <w:r w:rsidRPr="00790E86">
        <w:rPr>
          <w:rFonts w:ascii="David" w:hAnsi="David" w:hint="cs"/>
          <w:b/>
          <w:bCs/>
          <w:u w:val="single"/>
          <w:rtl/>
        </w:rPr>
        <w:t>אתה יודע טו טו טו טו טו, פתאום טאק</w:t>
      </w:r>
      <w:r w:rsidRPr="00651B59">
        <w:rPr>
          <w:rFonts w:ascii="David" w:hAnsi="David" w:hint="cs"/>
          <w:b/>
          <w:bCs/>
          <w:rtl/>
        </w:rPr>
        <w:t>.</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מדובב:</w:t>
      </w:r>
      <w:r w:rsidRPr="00651B59">
        <w:rPr>
          <w:rFonts w:ascii="David" w:hAnsi="David"/>
          <w:b/>
          <w:bCs/>
          <w:rtl/>
        </w:rPr>
        <w:tab/>
      </w:r>
      <w:r w:rsidRPr="00651B59">
        <w:rPr>
          <w:rFonts w:ascii="David" w:hAnsi="David" w:hint="cs"/>
          <w:b/>
          <w:bCs/>
          <w:rtl/>
        </w:rPr>
        <w:t>אבל כיוונת עליו?</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הנאשם:</w:t>
      </w:r>
      <w:r w:rsidRPr="00651B59">
        <w:rPr>
          <w:rFonts w:ascii="David" w:hAnsi="David"/>
          <w:b/>
          <w:bCs/>
          <w:rtl/>
        </w:rPr>
        <w:tab/>
      </w:r>
      <w:r w:rsidRPr="00651B59">
        <w:rPr>
          <w:rFonts w:ascii="David" w:hAnsi="David" w:hint="cs"/>
          <w:b/>
          <w:bCs/>
          <w:rtl/>
        </w:rPr>
        <w:t>לא יודע לא יודע.</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מדובב:</w:t>
      </w:r>
      <w:r w:rsidRPr="00651B59">
        <w:rPr>
          <w:rFonts w:ascii="David" w:hAnsi="David"/>
          <w:b/>
          <w:bCs/>
          <w:rtl/>
        </w:rPr>
        <w:tab/>
      </w:r>
      <w:r w:rsidRPr="00651B59">
        <w:rPr>
          <w:rFonts w:ascii="David" w:hAnsi="David" w:hint="cs"/>
          <w:b/>
          <w:bCs/>
          <w:rtl/>
        </w:rPr>
        <w:t>איזה זין מסכן אחי. עף כדור אחד או שתיים? היה עם מחסנית משהו?</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הנאשם:</w:t>
      </w:r>
      <w:r w:rsidRPr="00651B59">
        <w:rPr>
          <w:rFonts w:ascii="David" w:hAnsi="David"/>
          <w:b/>
          <w:bCs/>
          <w:rtl/>
        </w:rPr>
        <w:tab/>
      </w:r>
      <w:r w:rsidRPr="00651B59">
        <w:rPr>
          <w:rFonts w:ascii="David" w:hAnsi="David" w:hint="cs"/>
          <w:b/>
          <w:bCs/>
          <w:rtl/>
        </w:rPr>
        <w:t>זה היה עם מחסנית.</w:t>
      </w:r>
    </w:p>
    <w:p w:rsidR="00272CAC" w:rsidRPr="00651B59" w:rsidRDefault="00272CAC" w:rsidP="00272CAC">
      <w:pPr>
        <w:spacing w:line="360" w:lineRule="auto"/>
        <w:ind w:left="360"/>
        <w:jc w:val="both"/>
        <w:rPr>
          <w:rFonts w:ascii="David" w:hAnsi="David"/>
          <w:b/>
          <w:bCs/>
          <w:rtl/>
        </w:rPr>
      </w:pPr>
      <w:r w:rsidRPr="00651B59">
        <w:rPr>
          <w:rFonts w:ascii="David" w:hAnsi="David"/>
          <w:b/>
          <w:bCs/>
          <w:rtl/>
        </w:rPr>
        <w:tab/>
      </w:r>
      <w:r w:rsidRPr="00651B59">
        <w:rPr>
          <w:rFonts w:ascii="David" w:hAnsi="David"/>
          <w:b/>
          <w:bCs/>
          <w:rtl/>
        </w:rPr>
        <w:tab/>
      </w:r>
      <w:r w:rsidRPr="00651B59">
        <w:rPr>
          <w:rFonts w:ascii="David" w:hAnsi="David" w:hint="cs"/>
          <w:b/>
          <w:bCs/>
          <w:rtl/>
        </w:rPr>
        <w:t>(...)</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מדובב:</w:t>
      </w:r>
      <w:r w:rsidRPr="00651B59">
        <w:rPr>
          <w:rFonts w:ascii="David" w:hAnsi="David"/>
          <w:b/>
          <w:bCs/>
          <w:rtl/>
        </w:rPr>
        <w:tab/>
      </w:r>
      <w:r w:rsidRPr="00651B59">
        <w:rPr>
          <w:rFonts w:ascii="David" w:hAnsi="David" w:hint="cs"/>
          <w:b/>
          <w:bCs/>
          <w:rtl/>
        </w:rPr>
        <w:t>ונו מה אחרי מה עשית?</w:t>
      </w:r>
    </w:p>
    <w:p w:rsidR="00272CAC" w:rsidRPr="00651B59" w:rsidRDefault="00272CAC" w:rsidP="00272CAC">
      <w:pPr>
        <w:spacing w:line="360" w:lineRule="auto"/>
        <w:ind w:left="360"/>
        <w:jc w:val="both"/>
        <w:rPr>
          <w:rFonts w:ascii="David" w:hAnsi="David"/>
          <w:b/>
          <w:bCs/>
          <w:rtl/>
        </w:rPr>
      </w:pPr>
      <w:r w:rsidRPr="00651B59">
        <w:rPr>
          <w:rFonts w:ascii="David" w:hAnsi="David" w:hint="cs"/>
          <w:b/>
          <w:bCs/>
          <w:rtl/>
        </w:rPr>
        <w:t>הנאשם:</w:t>
      </w:r>
      <w:r w:rsidRPr="00651B59">
        <w:rPr>
          <w:rFonts w:ascii="David" w:hAnsi="David"/>
          <w:b/>
          <w:bCs/>
          <w:rtl/>
        </w:rPr>
        <w:tab/>
      </w:r>
      <w:r w:rsidRPr="00651B59">
        <w:rPr>
          <w:rFonts w:ascii="David" w:hAnsi="David" w:hint="cs"/>
          <w:b/>
          <w:bCs/>
          <w:rtl/>
        </w:rPr>
        <w:t xml:space="preserve">(...) קיבל טאק זהו. שמעתי את הככה אאא (אדם קולות של אדם נחנק) </w:t>
      </w:r>
    </w:p>
    <w:p w:rsidR="00272CAC" w:rsidRPr="00651B59" w:rsidRDefault="00272CAC" w:rsidP="00272CAC">
      <w:pPr>
        <w:spacing w:line="360" w:lineRule="auto"/>
        <w:ind w:left="360"/>
        <w:jc w:val="both"/>
        <w:rPr>
          <w:rFonts w:ascii="David" w:hAnsi="David"/>
          <w:b/>
          <w:bCs/>
        </w:rPr>
      </w:pPr>
      <w:r w:rsidRPr="00651B59">
        <w:rPr>
          <w:rFonts w:ascii="David" w:hAnsi="David" w:hint="cs"/>
          <w:b/>
          <w:bCs/>
          <w:rtl/>
        </w:rPr>
        <w:t xml:space="preserve">מדובב: </w:t>
      </w:r>
      <w:r w:rsidRPr="00651B59">
        <w:rPr>
          <w:rFonts w:ascii="David" w:hAnsi="David"/>
          <w:b/>
          <w:bCs/>
          <w:rtl/>
        </w:rPr>
        <w:tab/>
      </w:r>
      <w:r w:rsidRPr="00790E86">
        <w:rPr>
          <w:rFonts w:ascii="David" w:hAnsi="David" w:hint="cs"/>
          <w:b/>
          <w:bCs/>
          <w:u w:val="single"/>
          <w:rtl/>
        </w:rPr>
        <w:t>נו ומה עשית אחרי זה?</w:t>
      </w:r>
    </w:p>
    <w:p w:rsidR="00272CAC" w:rsidRPr="00651B59" w:rsidRDefault="00272CAC" w:rsidP="00272CAC">
      <w:pPr>
        <w:spacing w:line="360" w:lineRule="auto"/>
        <w:ind w:firstLine="360"/>
        <w:jc w:val="both"/>
        <w:rPr>
          <w:rFonts w:ascii="David" w:hAnsi="David"/>
          <w:b/>
          <w:bCs/>
          <w:rtl/>
        </w:rPr>
      </w:pPr>
      <w:r w:rsidRPr="00651B59">
        <w:rPr>
          <w:rFonts w:ascii="David" w:hAnsi="David" w:hint="cs"/>
          <w:b/>
          <w:bCs/>
          <w:rtl/>
        </w:rPr>
        <w:t>הנאשם:</w:t>
      </w:r>
      <w:r w:rsidRPr="00651B59">
        <w:rPr>
          <w:rFonts w:ascii="David" w:hAnsi="David"/>
          <w:b/>
          <w:bCs/>
          <w:rtl/>
        </w:rPr>
        <w:tab/>
      </w:r>
      <w:r w:rsidRPr="00790E86">
        <w:rPr>
          <w:rFonts w:ascii="David" w:hAnsi="David" w:hint="cs"/>
          <w:b/>
          <w:bCs/>
          <w:u w:val="single"/>
          <w:rtl/>
        </w:rPr>
        <w:t>רצתי (מל"ב) שמתי את האקדח עליו דבר ראשון (מל"ב) על הבטן</w:t>
      </w:r>
      <w:r w:rsidRPr="00651B59">
        <w:rPr>
          <w:rFonts w:ascii="David" w:hAnsi="David" w:hint="cs"/>
          <w:b/>
          <w:bCs/>
          <w:rtl/>
        </w:rPr>
        <w:t>.</w:t>
      </w:r>
    </w:p>
    <w:p w:rsidR="00272CAC" w:rsidRPr="00651B59" w:rsidRDefault="00272CAC" w:rsidP="00272CAC">
      <w:pPr>
        <w:spacing w:line="360" w:lineRule="auto"/>
        <w:ind w:firstLine="360"/>
        <w:jc w:val="both"/>
        <w:rPr>
          <w:rFonts w:ascii="David" w:hAnsi="David"/>
          <w:b/>
          <w:bCs/>
          <w:rtl/>
        </w:rPr>
      </w:pPr>
      <w:r w:rsidRPr="00651B59">
        <w:rPr>
          <w:rFonts w:ascii="David" w:hAnsi="David"/>
          <w:b/>
          <w:bCs/>
          <w:rtl/>
        </w:rPr>
        <w:tab/>
      </w:r>
      <w:r w:rsidRPr="00651B59">
        <w:rPr>
          <w:rFonts w:ascii="David" w:hAnsi="David"/>
          <w:b/>
          <w:bCs/>
          <w:rtl/>
        </w:rPr>
        <w:tab/>
      </w:r>
      <w:r w:rsidRPr="00651B59">
        <w:rPr>
          <w:rFonts w:ascii="David" w:hAnsi="David" w:hint="cs"/>
          <w:b/>
          <w:bCs/>
          <w:rtl/>
        </w:rPr>
        <w:t>(...)</w:t>
      </w:r>
    </w:p>
    <w:p w:rsidR="00272CAC" w:rsidRPr="00651B59" w:rsidRDefault="00272CAC" w:rsidP="00272CAC">
      <w:pPr>
        <w:spacing w:line="360" w:lineRule="auto"/>
        <w:ind w:left="1440"/>
        <w:jc w:val="both"/>
        <w:rPr>
          <w:rFonts w:ascii="David" w:hAnsi="David"/>
          <w:b/>
          <w:bCs/>
          <w:rtl/>
        </w:rPr>
      </w:pPr>
      <w:r w:rsidRPr="00651B59">
        <w:rPr>
          <w:rFonts w:ascii="David" w:hAnsi="David" w:hint="cs"/>
          <w:b/>
          <w:bCs/>
          <w:rtl/>
        </w:rPr>
        <w:t xml:space="preserve">ואז היה לי לתת עדות. נתתי עדות </w:t>
      </w:r>
      <w:r w:rsidRPr="00790E86">
        <w:rPr>
          <w:rFonts w:ascii="David" w:hAnsi="David" w:hint="cs"/>
          <w:b/>
          <w:bCs/>
          <w:u w:val="single"/>
          <w:rtl/>
        </w:rPr>
        <w:t>ואמרתי להם הייתי בשירותים</w:t>
      </w:r>
      <w:r w:rsidRPr="00790E86">
        <w:rPr>
          <w:rFonts w:ascii="David" w:hAnsi="David" w:hint="cs"/>
          <w:b/>
          <w:bCs/>
          <w:rtl/>
        </w:rPr>
        <w:t xml:space="preserve"> </w:t>
      </w:r>
      <w:r w:rsidRPr="00651B59">
        <w:rPr>
          <w:rFonts w:ascii="David" w:hAnsi="David" w:hint="cs"/>
          <w:b/>
          <w:bCs/>
          <w:rtl/>
        </w:rPr>
        <w:t>וככה וככה וככה...</w:t>
      </w:r>
    </w:p>
    <w:p w:rsidR="00272CAC" w:rsidRPr="00651B59" w:rsidRDefault="00272CAC" w:rsidP="00272CAC">
      <w:pPr>
        <w:spacing w:line="360" w:lineRule="auto"/>
        <w:jc w:val="both"/>
        <w:rPr>
          <w:rFonts w:ascii="David" w:hAnsi="David"/>
          <w:b/>
          <w:bCs/>
          <w:rtl/>
        </w:rPr>
      </w:pPr>
    </w:p>
    <w:p w:rsidR="00272CAC" w:rsidRDefault="00272CAC" w:rsidP="00272CAC">
      <w:pPr>
        <w:spacing w:line="360" w:lineRule="auto"/>
        <w:jc w:val="both"/>
        <w:rPr>
          <w:rFonts w:ascii="David" w:hAnsi="David"/>
          <w:rtl/>
        </w:rPr>
      </w:pPr>
      <w:r>
        <w:rPr>
          <w:rFonts w:ascii="David" w:hAnsi="David" w:hint="cs"/>
          <w:rtl/>
        </w:rPr>
        <w:t>בהמשך (עמ' 28) אמר הנאשם למדובב ש"</w:t>
      </w:r>
      <w:r w:rsidRPr="00790E86">
        <w:rPr>
          <w:rFonts w:ascii="David" w:hAnsi="David" w:hint="cs"/>
          <w:b/>
          <w:bCs/>
          <w:u w:val="single"/>
          <w:rtl/>
        </w:rPr>
        <w:t>לא כיוונתי אפילו, לא לא חשבתי שזה יפגע בו</w:t>
      </w:r>
      <w:r>
        <w:rPr>
          <w:rFonts w:ascii="David" w:hAnsi="David" w:hint="cs"/>
          <w:rtl/>
        </w:rPr>
        <w:t xml:space="preserve">"; </w:t>
      </w:r>
    </w:p>
    <w:p w:rsidR="00272CAC" w:rsidRDefault="00272CAC" w:rsidP="00272CAC">
      <w:pPr>
        <w:spacing w:line="360" w:lineRule="auto"/>
        <w:jc w:val="both"/>
        <w:rPr>
          <w:rFonts w:ascii="David" w:hAnsi="David"/>
          <w:rtl/>
        </w:rPr>
      </w:pPr>
    </w:p>
    <w:p w:rsidR="00272CAC" w:rsidRDefault="00272CAC" w:rsidP="00272CAC">
      <w:pPr>
        <w:spacing w:line="360" w:lineRule="auto"/>
        <w:jc w:val="both"/>
        <w:rPr>
          <w:rFonts w:ascii="David" w:hAnsi="David"/>
          <w:rtl/>
        </w:rPr>
      </w:pPr>
      <w:r>
        <w:rPr>
          <w:rFonts w:ascii="David" w:hAnsi="David" w:hint="cs"/>
          <w:rtl/>
        </w:rPr>
        <w:t>ובעמוד 30 אמר הנאשם ש:"</w:t>
      </w:r>
      <w:r w:rsidRPr="00651B59">
        <w:rPr>
          <w:rFonts w:ascii="David" w:hAnsi="David" w:hint="cs"/>
          <w:b/>
          <w:bCs/>
          <w:rtl/>
        </w:rPr>
        <w:t xml:space="preserve">הפחד שלי, שלא יגידו ביחידה. יודעים </w:t>
      </w:r>
      <w:r w:rsidRPr="00790E86">
        <w:rPr>
          <w:rFonts w:ascii="David" w:hAnsi="David" w:hint="cs"/>
          <w:b/>
          <w:bCs/>
          <w:u w:val="single"/>
          <w:rtl/>
        </w:rPr>
        <w:t>הם יודעים שהיינו משחקים בנשק</w:t>
      </w:r>
      <w:r w:rsidRPr="00651B59">
        <w:rPr>
          <w:rFonts w:ascii="David" w:hAnsi="David" w:hint="cs"/>
          <w:b/>
          <w:bCs/>
          <w:rtl/>
        </w:rPr>
        <w:t xml:space="preserve">, שלא יחקרו את היחידה והם יגידו הם היו משחקים בנשק (.. .) </w:t>
      </w:r>
      <w:r w:rsidRPr="00790E86">
        <w:rPr>
          <w:rFonts w:ascii="David" w:hAnsi="David" w:hint="cs"/>
          <w:b/>
          <w:bCs/>
          <w:u w:val="single"/>
          <w:rtl/>
        </w:rPr>
        <w:t>זה מה שיזיין אותי</w:t>
      </w:r>
      <w:r w:rsidRPr="00651B59">
        <w:rPr>
          <w:rFonts w:ascii="David" w:hAnsi="David" w:hint="cs"/>
          <w:b/>
          <w:bCs/>
          <w:rtl/>
        </w:rPr>
        <w:t>.."</w:t>
      </w:r>
    </w:p>
    <w:p w:rsidR="00272CAC" w:rsidRDefault="00272CAC" w:rsidP="00272CAC">
      <w:pPr>
        <w:spacing w:line="360" w:lineRule="auto"/>
        <w:jc w:val="both"/>
        <w:rPr>
          <w:rFonts w:ascii="David" w:hAnsi="David"/>
          <w:rtl/>
        </w:rPr>
      </w:pPr>
    </w:p>
    <w:p w:rsidR="00272CAC" w:rsidRDefault="00272CAC" w:rsidP="00272CAC">
      <w:pPr>
        <w:spacing w:line="360" w:lineRule="auto"/>
        <w:jc w:val="both"/>
        <w:rPr>
          <w:rFonts w:ascii="David" w:hAnsi="David"/>
          <w:rtl/>
        </w:rPr>
      </w:pPr>
      <w:r>
        <w:rPr>
          <w:rFonts w:ascii="David" w:hAnsi="David" w:hint="cs"/>
          <w:rtl/>
        </w:rPr>
        <w:t>ובהמשך (עמ' 30-31):</w:t>
      </w:r>
    </w:p>
    <w:p w:rsidR="00272CAC" w:rsidRDefault="00272CAC" w:rsidP="00272CAC">
      <w:pPr>
        <w:spacing w:line="360" w:lineRule="auto"/>
        <w:jc w:val="both"/>
        <w:rPr>
          <w:rFonts w:ascii="David" w:hAnsi="David"/>
          <w:rtl/>
        </w:rPr>
      </w:pPr>
    </w:p>
    <w:p w:rsidR="00272CAC" w:rsidRPr="00651B59" w:rsidRDefault="00272CAC" w:rsidP="00272CAC">
      <w:pPr>
        <w:spacing w:line="360" w:lineRule="auto"/>
        <w:ind w:left="1440" w:hanging="1080"/>
        <w:jc w:val="both"/>
        <w:rPr>
          <w:rFonts w:ascii="David" w:hAnsi="David"/>
          <w:b/>
          <w:bCs/>
          <w:rtl/>
        </w:rPr>
      </w:pPr>
      <w:r w:rsidRPr="00651B59">
        <w:rPr>
          <w:rFonts w:ascii="David" w:hAnsi="David" w:hint="cs"/>
          <w:b/>
          <w:bCs/>
          <w:rtl/>
        </w:rPr>
        <w:t xml:space="preserve">מדובב: </w:t>
      </w:r>
      <w:r w:rsidRPr="00651B59">
        <w:rPr>
          <w:rFonts w:ascii="David" w:hAnsi="David"/>
          <w:b/>
          <w:bCs/>
          <w:rtl/>
        </w:rPr>
        <w:tab/>
      </w:r>
      <w:r w:rsidRPr="00790E86">
        <w:rPr>
          <w:rFonts w:ascii="David" w:hAnsi="David" w:hint="cs"/>
          <w:b/>
          <w:bCs/>
          <w:u w:val="single"/>
          <w:rtl/>
        </w:rPr>
        <w:t>ומה היה מחסנית שלמה בתוך הזה</w:t>
      </w:r>
      <w:r w:rsidRPr="00651B59">
        <w:rPr>
          <w:rFonts w:ascii="David" w:hAnsi="David" w:hint="cs"/>
          <w:b/>
          <w:bCs/>
          <w:rtl/>
        </w:rPr>
        <w:t>?</w:t>
      </w:r>
    </w:p>
    <w:p w:rsidR="00272CAC" w:rsidRPr="00790E86" w:rsidRDefault="00272CAC" w:rsidP="00272CAC">
      <w:pPr>
        <w:spacing w:line="360" w:lineRule="auto"/>
        <w:ind w:left="1440" w:hanging="1080"/>
        <w:jc w:val="both"/>
        <w:rPr>
          <w:rFonts w:ascii="David" w:hAnsi="David"/>
          <w:b/>
          <w:bCs/>
          <w:u w:val="single"/>
          <w:rtl/>
        </w:rPr>
      </w:pPr>
      <w:r w:rsidRPr="00651B59">
        <w:rPr>
          <w:rFonts w:ascii="David" w:hAnsi="David" w:hint="cs"/>
          <w:b/>
          <w:bCs/>
          <w:rtl/>
        </w:rPr>
        <w:t xml:space="preserve">הנאשם: </w:t>
      </w:r>
      <w:r w:rsidRPr="00651B59">
        <w:rPr>
          <w:rFonts w:ascii="David" w:hAnsi="David"/>
          <w:b/>
          <w:bCs/>
          <w:rtl/>
        </w:rPr>
        <w:tab/>
      </w:r>
      <w:r w:rsidRPr="00790E86">
        <w:rPr>
          <w:rFonts w:ascii="David" w:hAnsi="David" w:hint="cs"/>
          <w:b/>
          <w:bCs/>
          <w:u w:val="single"/>
          <w:rtl/>
        </w:rPr>
        <w:t>לא בדיוק. הוצאתי מחסנית, דרכתי, במחסנית היה לי ת'רווח הזה גררה כדור.</w:t>
      </w:r>
    </w:p>
    <w:p w:rsidR="00272CAC" w:rsidRPr="00651B59" w:rsidRDefault="00272CAC" w:rsidP="00272CAC">
      <w:pPr>
        <w:spacing w:line="360" w:lineRule="auto"/>
        <w:ind w:left="1440" w:hanging="1080"/>
        <w:jc w:val="both"/>
        <w:rPr>
          <w:rFonts w:ascii="David" w:hAnsi="David"/>
          <w:b/>
          <w:bCs/>
          <w:rtl/>
        </w:rPr>
      </w:pPr>
      <w:r w:rsidRPr="00651B59">
        <w:rPr>
          <w:rFonts w:ascii="David" w:hAnsi="David" w:hint="cs"/>
          <w:b/>
          <w:bCs/>
          <w:rtl/>
        </w:rPr>
        <w:t xml:space="preserve">מדובב: </w:t>
      </w:r>
      <w:r w:rsidRPr="00651B59">
        <w:rPr>
          <w:rFonts w:ascii="David" w:hAnsi="David"/>
          <w:b/>
          <w:bCs/>
          <w:rtl/>
        </w:rPr>
        <w:tab/>
      </w:r>
      <w:r w:rsidRPr="00790E86">
        <w:rPr>
          <w:rFonts w:ascii="David" w:hAnsi="David" w:hint="cs"/>
          <w:b/>
          <w:bCs/>
          <w:u w:val="single"/>
          <w:rtl/>
        </w:rPr>
        <w:t>אתה הוצאת אותה חצי</w:t>
      </w:r>
      <w:r w:rsidRPr="00651B59">
        <w:rPr>
          <w:rFonts w:ascii="David" w:hAnsi="David" w:hint="cs"/>
          <w:b/>
          <w:bCs/>
          <w:rtl/>
        </w:rPr>
        <w:t>?</w:t>
      </w:r>
    </w:p>
    <w:p w:rsidR="00272CAC" w:rsidRPr="00651B59" w:rsidRDefault="00272CAC" w:rsidP="00272CAC">
      <w:pPr>
        <w:spacing w:line="360" w:lineRule="auto"/>
        <w:ind w:left="1440" w:hanging="1080"/>
        <w:jc w:val="both"/>
        <w:rPr>
          <w:rFonts w:ascii="David" w:hAnsi="David"/>
          <w:b/>
          <w:bCs/>
          <w:rtl/>
        </w:rPr>
      </w:pPr>
      <w:r w:rsidRPr="00651B59">
        <w:rPr>
          <w:rFonts w:ascii="David" w:hAnsi="David" w:hint="cs"/>
          <w:b/>
          <w:bCs/>
          <w:rtl/>
        </w:rPr>
        <w:t xml:space="preserve">הנאשם: </w:t>
      </w:r>
      <w:r w:rsidRPr="00651B59">
        <w:rPr>
          <w:rFonts w:ascii="David" w:hAnsi="David"/>
          <w:b/>
          <w:bCs/>
          <w:rtl/>
        </w:rPr>
        <w:tab/>
      </w:r>
      <w:r w:rsidRPr="00790E86">
        <w:rPr>
          <w:rFonts w:ascii="David" w:hAnsi="David" w:hint="cs"/>
          <w:b/>
          <w:bCs/>
          <w:u w:val="single"/>
          <w:rtl/>
        </w:rPr>
        <w:t>גררה כדור (...) לא יודע היא גררה ת'כדור. לא ידעתי שגרר כדור. בא פורק ללוחץ עושה לו תראה, טאק, אמרתי לך חשבתי לא יהיה כלום, טאק עף כדור</w:t>
      </w:r>
      <w:r w:rsidRPr="00651B59">
        <w:rPr>
          <w:rFonts w:ascii="David" w:hAnsi="David" w:hint="cs"/>
          <w:b/>
          <w:bCs/>
          <w:rtl/>
        </w:rPr>
        <w:t>..</w:t>
      </w:r>
    </w:p>
    <w:p w:rsidR="00272CAC" w:rsidRDefault="00272CAC" w:rsidP="00272CAC">
      <w:pPr>
        <w:spacing w:line="360" w:lineRule="auto"/>
        <w:ind w:left="1440" w:hanging="1080"/>
        <w:jc w:val="both"/>
        <w:rPr>
          <w:rFonts w:ascii="David" w:hAnsi="David"/>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lastRenderedPageBreak/>
        <w:t>אעיר, שהמדובב העיד לפנינו ביום 10.11.21 ומשום יריעת המחלוקת לא נתעכב על עדותו, אך פטור בלא כלום לא ניתן ואציין כי התרשמתי לחיוב מהמדובב ומעבודתו שנעשתה בפרק הזמן הקצר שהוקצה לו.</w:t>
      </w:r>
    </w:p>
    <w:p w:rsidR="00272CAC" w:rsidRPr="00D472EE" w:rsidRDefault="00272CAC" w:rsidP="00272CAC">
      <w:pPr>
        <w:spacing w:line="360" w:lineRule="auto"/>
        <w:ind w:left="1440" w:hanging="1080"/>
        <w:jc w:val="both"/>
        <w:rPr>
          <w:rFonts w:ascii="David" w:hAnsi="David"/>
          <w:rtl/>
        </w:rPr>
      </w:pPr>
    </w:p>
    <w:p w:rsidR="00272CAC" w:rsidRPr="00D472EE" w:rsidRDefault="00272CAC" w:rsidP="00272CAC">
      <w:pPr>
        <w:pStyle w:val="ac"/>
        <w:numPr>
          <w:ilvl w:val="0"/>
          <w:numId w:val="14"/>
        </w:numPr>
        <w:spacing w:after="0" w:line="360" w:lineRule="auto"/>
        <w:jc w:val="both"/>
        <w:rPr>
          <w:rFonts w:ascii="David" w:hAnsi="David" w:cs="David"/>
          <w:sz w:val="24"/>
          <w:szCs w:val="24"/>
        </w:rPr>
      </w:pPr>
      <w:r w:rsidRPr="00D472EE">
        <w:rPr>
          <w:rFonts w:ascii="David" w:hAnsi="David" w:cs="David" w:hint="cs"/>
          <w:b/>
          <w:bCs/>
          <w:sz w:val="24"/>
          <w:szCs w:val="24"/>
          <w:u w:val="single"/>
          <w:rtl/>
        </w:rPr>
        <w:t>עדות הנאשם</w:t>
      </w:r>
      <w:r w:rsidRPr="00D472EE">
        <w:rPr>
          <w:rFonts w:ascii="David" w:hAnsi="David" w:cs="David" w:hint="cs"/>
          <w:b/>
          <w:bCs/>
          <w:sz w:val="24"/>
          <w:szCs w:val="24"/>
          <w:rtl/>
        </w:rPr>
        <w:t xml:space="preserve"> </w:t>
      </w:r>
      <w:r w:rsidRPr="00D472EE">
        <w:rPr>
          <w:rFonts w:ascii="David" w:hAnsi="David" w:cs="David" w:hint="cs"/>
          <w:sz w:val="24"/>
          <w:szCs w:val="24"/>
          <w:rtl/>
        </w:rPr>
        <w:t xml:space="preserve">- הנאשם העיד על פני 4 דיונים </w:t>
      </w:r>
      <w:r w:rsidRPr="00D472EE">
        <w:rPr>
          <w:rFonts w:ascii="David" w:hAnsi="David" w:cs="David"/>
          <w:sz w:val="24"/>
          <w:szCs w:val="24"/>
          <w:rtl/>
        </w:rPr>
        <w:t>–</w:t>
      </w:r>
      <w:r w:rsidRPr="00D472EE">
        <w:rPr>
          <w:rFonts w:ascii="David" w:hAnsi="David" w:cs="David" w:hint="cs"/>
          <w:sz w:val="24"/>
          <w:szCs w:val="24"/>
          <w:rtl/>
        </w:rPr>
        <w:t xml:space="preserve"> 3 הדיונים הראשונים נערכו כמקובל בבית המשפט (5.1.23, 26.1.23, 2.3.23)</w:t>
      </w:r>
      <w:r>
        <w:rPr>
          <w:rFonts w:ascii="David" w:hAnsi="David" w:cs="David" w:hint="cs"/>
          <w:sz w:val="24"/>
          <w:szCs w:val="24"/>
          <w:rtl/>
        </w:rPr>
        <w:t>,</w:t>
      </w:r>
      <w:r w:rsidRPr="00D472EE">
        <w:rPr>
          <w:rFonts w:ascii="David" w:hAnsi="David" w:cs="David" w:hint="cs"/>
          <w:sz w:val="24"/>
          <w:szCs w:val="24"/>
          <w:rtl/>
        </w:rPr>
        <w:t xml:space="preserve"> והדיון האחרון מיום 20.3.23 התקיים במטווח </w:t>
      </w:r>
      <w:r>
        <w:rPr>
          <w:rFonts w:ascii="David" w:hAnsi="David" w:cs="David" w:hint="cs"/>
          <w:sz w:val="24"/>
          <w:szCs w:val="24"/>
          <w:rtl/>
        </w:rPr>
        <w:t>סמוך ל</w:t>
      </w:r>
      <w:r w:rsidRPr="00D472EE">
        <w:rPr>
          <w:rFonts w:ascii="David" w:hAnsi="David" w:cs="David" w:hint="cs"/>
          <w:sz w:val="24"/>
          <w:szCs w:val="24"/>
          <w:rtl/>
        </w:rPr>
        <w:t>קיבוץ גניגר</w:t>
      </w:r>
      <w:r>
        <w:rPr>
          <w:rFonts w:ascii="David" w:hAnsi="David" w:cs="David" w:hint="cs"/>
          <w:sz w:val="24"/>
          <w:szCs w:val="24"/>
          <w:rtl/>
        </w:rPr>
        <w:t>,</w:t>
      </w:r>
      <w:r w:rsidRPr="00D472EE">
        <w:rPr>
          <w:rFonts w:ascii="David" w:hAnsi="David" w:cs="David" w:hint="cs"/>
          <w:sz w:val="24"/>
          <w:szCs w:val="24"/>
          <w:rtl/>
        </w:rPr>
        <w:t xml:space="preserve"> על רקע בקשת המאשימה ש</w:t>
      </w:r>
      <w:r>
        <w:rPr>
          <w:rFonts w:ascii="David" w:hAnsi="David" w:cs="David" w:hint="cs"/>
          <w:sz w:val="24"/>
          <w:szCs w:val="24"/>
          <w:rtl/>
        </w:rPr>
        <w:t xml:space="preserve">הנאשם </w:t>
      </w:r>
      <w:r w:rsidRPr="00D472EE">
        <w:rPr>
          <w:rFonts w:ascii="David" w:hAnsi="David" w:cs="David" w:hint="cs"/>
          <w:sz w:val="24"/>
          <w:szCs w:val="24"/>
          <w:rtl/>
        </w:rPr>
        <w:t>ידגים את מעשיו באמצעות אקדח. דיון זה אף תועד בוידיאו.</w:t>
      </w:r>
    </w:p>
    <w:p w:rsidR="00272CAC" w:rsidRPr="00450EF3"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הנאשם נדרש בעדותו לשני נושאים עיקריים: </w:t>
      </w:r>
    </w:p>
    <w:p w:rsidR="00272CAC" w:rsidRDefault="00272CAC" w:rsidP="00272CAC">
      <w:pPr>
        <w:pStyle w:val="ac"/>
        <w:spacing w:after="0" w:line="360" w:lineRule="auto"/>
        <w:ind w:left="360"/>
        <w:jc w:val="both"/>
        <w:rPr>
          <w:rFonts w:ascii="David" w:hAnsi="David" w:cs="David"/>
          <w:sz w:val="24"/>
          <w:szCs w:val="24"/>
          <w:rtl/>
        </w:rPr>
      </w:pPr>
    </w:p>
    <w:p w:rsidR="00272CAC" w:rsidRPr="00450EF3" w:rsidRDefault="00272CAC" w:rsidP="00272CAC">
      <w:pPr>
        <w:pStyle w:val="ac"/>
        <w:spacing w:after="0" w:line="360" w:lineRule="auto"/>
        <w:ind w:left="360"/>
        <w:jc w:val="both"/>
        <w:rPr>
          <w:rFonts w:ascii="David" w:hAnsi="David" w:cs="David"/>
          <w:b/>
          <w:bCs/>
          <w:sz w:val="24"/>
          <w:szCs w:val="24"/>
          <w:rtl/>
        </w:rPr>
      </w:pPr>
      <w:r>
        <w:rPr>
          <w:rFonts w:ascii="David" w:hAnsi="David" w:cs="David" w:hint="cs"/>
          <w:sz w:val="24"/>
          <w:szCs w:val="24"/>
          <w:rtl/>
        </w:rPr>
        <w:t xml:space="preserve">הראשון, </w:t>
      </w:r>
      <w:r w:rsidRPr="00D2568E">
        <w:rPr>
          <w:rFonts w:ascii="David" w:hAnsi="David" w:cs="David" w:hint="cs"/>
          <w:sz w:val="24"/>
          <w:szCs w:val="24"/>
          <w:u w:val="single"/>
          <w:rtl/>
        </w:rPr>
        <w:t>מטרת מעשיו</w:t>
      </w:r>
      <w:r w:rsidRPr="00B359D4">
        <w:rPr>
          <w:rFonts w:ascii="David" w:hAnsi="David" w:cs="David" w:hint="cs"/>
          <w:sz w:val="24"/>
          <w:szCs w:val="24"/>
          <w:rtl/>
        </w:rPr>
        <w:t xml:space="preserve"> </w:t>
      </w:r>
      <w:r>
        <w:rPr>
          <w:rFonts w:ascii="David" w:hAnsi="David" w:cs="David" w:hint="cs"/>
          <w:sz w:val="24"/>
          <w:szCs w:val="24"/>
          <w:rtl/>
        </w:rPr>
        <w:t xml:space="preserve">ובמילים אחרות </w:t>
      </w:r>
      <w:r>
        <w:rPr>
          <w:rFonts w:ascii="David" w:hAnsi="David" w:cs="David"/>
          <w:sz w:val="24"/>
          <w:szCs w:val="24"/>
          <w:rtl/>
        </w:rPr>
        <w:t>–</w:t>
      </w:r>
      <w:r>
        <w:rPr>
          <w:rFonts w:ascii="David" w:hAnsi="David" w:cs="David" w:hint="cs"/>
          <w:sz w:val="24"/>
          <w:szCs w:val="24"/>
          <w:rtl/>
        </w:rPr>
        <w:t xml:space="preserve"> </w:t>
      </w:r>
      <w:r w:rsidRPr="00450EF3">
        <w:rPr>
          <w:rFonts w:ascii="David" w:hAnsi="David" w:cs="David" w:hint="cs"/>
          <w:b/>
          <w:bCs/>
          <w:sz w:val="24"/>
          <w:szCs w:val="24"/>
          <w:rtl/>
        </w:rPr>
        <w:t xml:space="preserve">מדוע, לשיטתו, "מלכתחילה "התעסק" בנשק;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והשני </w:t>
      </w:r>
      <w:r w:rsidRPr="00450EF3">
        <w:rPr>
          <w:rFonts w:ascii="David" w:hAnsi="David" w:cs="David" w:hint="cs"/>
          <w:b/>
          <w:bCs/>
          <w:sz w:val="24"/>
          <w:szCs w:val="24"/>
          <w:u w:val="single"/>
          <w:rtl/>
        </w:rPr>
        <w:t>תיאור הפיזי-טכני של מעשי</w:t>
      </w:r>
      <w:r w:rsidRPr="00450EF3">
        <w:rPr>
          <w:rFonts w:ascii="David" w:hAnsi="David" w:cs="David" w:hint="cs"/>
          <w:sz w:val="24"/>
          <w:szCs w:val="24"/>
          <w:u w:val="single"/>
          <w:rtl/>
        </w:rPr>
        <w:t>ו</w:t>
      </w:r>
      <w:r>
        <w:rPr>
          <w:rFonts w:ascii="David" w:hAnsi="David" w:cs="David" w:hint="cs"/>
          <w:sz w:val="24"/>
          <w:szCs w:val="24"/>
          <w:rtl/>
        </w:rPr>
        <w:t xml:space="preserve">, היינו סדר הפעולות באקדח.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tl/>
        </w:rPr>
      </w:pPr>
      <w:r>
        <w:rPr>
          <w:rFonts w:ascii="David" w:hAnsi="David" w:cs="David" w:hint="cs"/>
          <w:sz w:val="24"/>
          <w:szCs w:val="24"/>
          <w:rtl/>
        </w:rPr>
        <w:t xml:space="preserve">בעוד תיאור </w:t>
      </w:r>
      <w:r w:rsidRPr="00274540">
        <w:rPr>
          <w:rFonts w:ascii="David" w:hAnsi="David" w:cs="David" w:hint="cs"/>
          <w:sz w:val="24"/>
          <w:szCs w:val="24"/>
          <w:u w:val="single"/>
          <w:rtl/>
        </w:rPr>
        <w:t>מטרת</w:t>
      </w:r>
      <w:r>
        <w:rPr>
          <w:rFonts w:ascii="David" w:hAnsi="David" w:cs="David" w:hint="cs"/>
          <w:sz w:val="24"/>
          <w:szCs w:val="24"/>
          <w:rtl/>
        </w:rPr>
        <w:t xml:space="preserve"> מעשיו של הנאשם השתנה והיה בלתי עקבי בעליל; התיאור שמסר לגבי </w:t>
      </w:r>
      <w:r w:rsidRPr="001D195D">
        <w:rPr>
          <w:rFonts w:ascii="David" w:hAnsi="David" w:cs="David" w:hint="cs"/>
          <w:sz w:val="24"/>
          <w:szCs w:val="24"/>
          <w:u w:val="single"/>
          <w:rtl/>
        </w:rPr>
        <w:t>סדר הפעולות הטכני</w:t>
      </w:r>
      <w:r>
        <w:rPr>
          <w:rFonts w:ascii="David" w:hAnsi="David" w:cs="David" w:hint="cs"/>
          <w:sz w:val="24"/>
          <w:szCs w:val="24"/>
          <w:rtl/>
        </w:rPr>
        <w:t xml:space="preserve"> היה, פחות או יותר, עקבי, ותאם את הדברים שמסר למדובב. </w:t>
      </w:r>
      <w:r w:rsidRPr="00450EF3">
        <w:rPr>
          <w:rFonts w:ascii="David" w:hAnsi="David" w:cs="David" w:hint="cs"/>
          <w:b/>
          <w:bCs/>
          <w:sz w:val="24"/>
          <w:szCs w:val="24"/>
          <w:rtl/>
        </w:rPr>
        <w:t>מדובר בתיאור שעל בסיסו ניסחה המאשימה עצמה את כתב האישום (הן המקורי והן המתוקן)</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הנאשם הדגיש בעדותו, ביחס למדובב, כי הוא מסר לאחרון "</w:t>
      </w:r>
      <w:r w:rsidRPr="00D2568E">
        <w:rPr>
          <w:rFonts w:ascii="David" w:hAnsi="David" w:cs="David" w:hint="cs"/>
          <w:b/>
          <w:bCs/>
          <w:sz w:val="24"/>
          <w:szCs w:val="24"/>
          <w:rtl/>
        </w:rPr>
        <w:t>את כל האמת</w:t>
      </w:r>
      <w:r>
        <w:rPr>
          <w:rFonts w:ascii="David" w:hAnsi="David" w:cs="David" w:hint="cs"/>
          <w:sz w:val="24"/>
          <w:szCs w:val="24"/>
          <w:rtl/>
        </w:rPr>
        <w:t xml:space="preserve">" והסביר זאת בסברתו שהלה חבר שלו (ר' דוגמה אחת מיני רבות, דיון מיום 5.1.23 עמ' 612 למטה). </w:t>
      </w:r>
    </w:p>
    <w:p w:rsidR="00272CAC" w:rsidRDefault="00272CAC" w:rsidP="00272CAC">
      <w:pPr>
        <w:pStyle w:val="ac"/>
        <w:spacing w:after="0" w:line="360" w:lineRule="auto"/>
        <w:ind w:left="360"/>
        <w:jc w:val="both"/>
        <w:rPr>
          <w:rFonts w:ascii="David" w:hAnsi="David" w:cs="David"/>
          <w:sz w:val="24"/>
          <w:szCs w:val="24"/>
          <w:rtl/>
        </w:rPr>
      </w:pPr>
    </w:p>
    <w:p w:rsidR="00272CAC" w:rsidRPr="002F5AE6" w:rsidRDefault="00272CAC" w:rsidP="00272CAC">
      <w:pPr>
        <w:pStyle w:val="ac"/>
        <w:spacing w:after="0" w:line="360" w:lineRule="auto"/>
        <w:ind w:left="360"/>
        <w:jc w:val="both"/>
        <w:rPr>
          <w:rFonts w:ascii="David" w:hAnsi="David" w:cs="David"/>
          <w:sz w:val="24"/>
          <w:szCs w:val="24"/>
        </w:rPr>
      </w:pPr>
      <w:r>
        <w:rPr>
          <w:rFonts w:ascii="David" w:hAnsi="David" w:cs="David" w:hint="cs"/>
          <w:b/>
          <w:bCs/>
          <w:sz w:val="24"/>
          <w:szCs w:val="24"/>
          <w:rtl/>
        </w:rPr>
        <w:t>נתאר להלן את עיקר הדברים שעלו בעדות הנאשם.</w:t>
      </w:r>
    </w:p>
    <w:p w:rsidR="00272CAC" w:rsidRPr="002F5AE6" w:rsidRDefault="00272CAC" w:rsidP="00272CAC">
      <w:pPr>
        <w:pStyle w:val="ac"/>
        <w:spacing w:after="0" w:line="360" w:lineRule="auto"/>
        <w:ind w:left="360"/>
        <w:jc w:val="both"/>
        <w:rPr>
          <w:rFonts w:ascii="David" w:hAnsi="David" w:cs="David"/>
          <w:sz w:val="24"/>
          <w:szCs w:val="24"/>
        </w:rPr>
      </w:pPr>
    </w:p>
    <w:p w:rsidR="00272CAC" w:rsidRPr="002F5AE6" w:rsidRDefault="00272CAC" w:rsidP="00272CAC">
      <w:pPr>
        <w:pStyle w:val="ac"/>
        <w:numPr>
          <w:ilvl w:val="0"/>
          <w:numId w:val="14"/>
        </w:numPr>
        <w:spacing w:after="0" w:line="360" w:lineRule="auto"/>
        <w:jc w:val="both"/>
        <w:rPr>
          <w:rFonts w:ascii="David" w:hAnsi="David" w:cs="David"/>
          <w:sz w:val="24"/>
          <w:szCs w:val="24"/>
        </w:rPr>
      </w:pPr>
      <w:r w:rsidRPr="002F5AE6">
        <w:rPr>
          <w:rFonts w:ascii="David" w:hAnsi="David" w:cs="David" w:hint="cs"/>
          <w:b/>
          <w:bCs/>
          <w:sz w:val="24"/>
          <w:szCs w:val="24"/>
          <w:rtl/>
        </w:rPr>
        <w:t xml:space="preserve">בתחילת עדותו טען הנאשם </w:t>
      </w:r>
      <w:r w:rsidRPr="002F5AE6">
        <w:rPr>
          <w:rFonts w:ascii="David" w:hAnsi="David" w:cs="David" w:hint="cs"/>
          <w:b/>
          <w:bCs/>
          <w:sz w:val="24"/>
          <w:szCs w:val="24"/>
          <w:u w:val="single"/>
          <w:rtl/>
        </w:rPr>
        <w:t>שמטרת מעשיו</w:t>
      </w:r>
      <w:r w:rsidRPr="002F5AE6">
        <w:rPr>
          <w:rFonts w:ascii="David" w:hAnsi="David" w:cs="David" w:hint="cs"/>
          <w:b/>
          <w:bCs/>
          <w:sz w:val="24"/>
          <w:szCs w:val="24"/>
          <w:rtl/>
        </w:rPr>
        <w:t xml:space="preserve"> היתה </w:t>
      </w:r>
      <w:r w:rsidRPr="002F5AE6">
        <w:rPr>
          <w:rFonts w:ascii="David" w:hAnsi="David" w:cs="David" w:hint="cs"/>
          <w:b/>
          <w:bCs/>
          <w:sz w:val="24"/>
          <w:szCs w:val="24"/>
          <w:u w:val="single"/>
          <w:rtl/>
        </w:rPr>
        <w:t>פריקת נשקו</w:t>
      </w:r>
      <w:r w:rsidRPr="002F5AE6">
        <w:rPr>
          <w:rFonts w:ascii="David" w:hAnsi="David" w:cs="David" w:hint="cs"/>
          <w:b/>
          <w:bCs/>
          <w:sz w:val="24"/>
          <w:szCs w:val="24"/>
          <w:rtl/>
        </w:rPr>
        <w:t xml:space="preserve"> </w:t>
      </w:r>
      <w:r w:rsidRPr="002F5AE6">
        <w:rPr>
          <w:rFonts w:ascii="David" w:hAnsi="David" w:cs="David" w:hint="cs"/>
          <w:sz w:val="24"/>
          <w:szCs w:val="24"/>
          <w:rtl/>
        </w:rPr>
        <w:t xml:space="preserve">(ר' לדוגמה, עדות ראשית, דיון מיום 5.1.23 עמ' 612 שורה 14). </w:t>
      </w:r>
    </w:p>
    <w:p w:rsidR="00272CAC" w:rsidRPr="00A0530F" w:rsidRDefault="00272CAC" w:rsidP="00272CAC">
      <w:pPr>
        <w:pStyle w:val="ac"/>
        <w:rPr>
          <w:rFonts w:ascii="David" w:hAnsi="David" w:cs="David"/>
          <w:sz w:val="24"/>
          <w:szCs w:val="24"/>
          <w:rtl/>
        </w:rPr>
      </w:pPr>
    </w:p>
    <w:p w:rsidR="00272CAC" w:rsidRPr="001D195D"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נוכח האמור לעיל התבקש הנאשם, במסגרת חקירתו </w:t>
      </w:r>
      <w:r w:rsidRPr="003802AE">
        <w:rPr>
          <w:rFonts w:ascii="David" w:hAnsi="David" w:cs="David" w:hint="cs"/>
          <w:sz w:val="24"/>
          <w:szCs w:val="24"/>
          <w:rtl/>
        </w:rPr>
        <w:t>הנגדית</w:t>
      </w:r>
      <w:r>
        <w:rPr>
          <w:rFonts w:ascii="David" w:hAnsi="David" w:cs="David" w:hint="cs"/>
          <w:sz w:val="24"/>
          <w:szCs w:val="24"/>
          <w:rtl/>
        </w:rPr>
        <w:t>,</w:t>
      </w:r>
      <w:r w:rsidRPr="003802AE">
        <w:rPr>
          <w:rFonts w:ascii="David" w:hAnsi="David" w:cs="David" w:hint="cs"/>
          <w:sz w:val="24"/>
          <w:szCs w:val="24"/>
          <w:rtl/>
        </w:rPr>
        <w:t xml:space="preserve"> </w:t>
      </w:r>
      <w:r>
        <w:rPr>
          <w:rFonts w:ascii="David" w:hAnsi="David" w:cs="David" w:hint="cs"/>
          <w:sz w:val="24"/>
          <w:szCs w:val="24"/>
          <w:rtl/>
        </w:rPr>
        <w:t xml:space="preserve">לתת הסבר </w:t>
      </w:r>
      <w:r w:rsidRPr="003802AE">
        <w:rPr>
          <w:rFonts w:ascii="David" w:hAnsi="David" w:cs="David" w:hint="cs"/>
          <w:sz w:val="24"/>
          <w:szCs w:val="24"/>
          <w:rtl/>
        </w:rPr>
        <w:t xml:space="preserve">מדוע </w:t>
      </w:r>
      <w:r w:rsidRPr="003802AE">
        <w:rPr>
          <w:rFonts w:ascii="David" w:hAnsi="David" w:cs="David" w:hint="cs"/>
          <w:sz w:val="24"/>
          <w:szCs w:val="24"/>
          <w:u w:val="single"/>
          <w:rtl/>
        </w:rPr>
        <w:t xml:space="preserve">מלכתחילה </w:t>
      </w:r>
      <w:r w:rsidRPr="003802AE">
        <w:rPr>
          <w:rFonts w:ascii="David" w:hAnsi="David" w:cs="David" w:hint="cs"/>
          <w:sz w:val="24"/>
          <w:szCs w:val="24"/>
          <w:rtl/>
        </w:rPr>
        <w:t xml:space="preserve">ביקש </w:t>
      </w:r>
      <w:r w:rsidRPr="003802AE">
        <w:rPr>
          <w:rFonts w:ascii="David" w:hAnsi="David" w:cs="David" w:hint="cs"/>
          <w:b/>
          <w:bCs/>
          <w:sz w:val="24"/>
          <w:szCs w:val="24"/>
          <w:rtl/>
        </w:rPr>
        <w:t>לפרוק</w:t>
      </w:r>
      <w:r w:rsidRPr="003802AE">
        <w:rPr>
          <w:rFonts w:ascii="David" w:hAnsi="David" w:cs="David" w:hint="cs"/>
          <w:sz w:val="24"/>
          <w:szCs w:val="24"/>
          <w:rtl/>
        </w:rPr>
        <w:t xml:space="preserve"> את אקדחו</w:t>
      </w:r>
      <w:r>
        <w:rPr>
          <w:rFonts w:ascii="David" w:hAnsi="David" w:cs="David" w:hint="cs"/>
          <w:sz w:val="24"/>
          <w:szCs w:val="24"/>
          <w:rtl/>
        </w:rPr>
        <w:t xml:space="preserve">. שאלה זו באה נוכח </w:t>
      </w:r>
      <w:r w:rsidRPr="003802AE">
        <w:rPr>
          <w:rFonts w:ascii="David" w:hAnsi="David" w:cs="David" w:hint="cs"/>
          <w:sz w:val="24"/>
          <w:szCs w:val="24"/>
          <w:rtl/>
        </w:rPr>
        <w:t>הראיות שהביאה המאשימה (עדויות חבריו של הנאשם ליחידה וכן מפקדיו)</w:t>
      </w:r>
      <w:r>
        <w:rPr>
          <w:rFonts w:ascii="David" w:hAnsi="David" w:cs="David" w:hint="cs"/>
          <w:sz w:val="24"/>
          <w:szCs w:val="24"/>
          <w:rtl/>
        </w:rPr>
        <w:t xml:space="preserve"> מהן </w:t>
      </w:r>
      <w:r w:rsidRPr="003802AE">
        <w:rPr>
          <w:rFonts w:ascii="David" w:hAnsi="David" w:cs="David" w:hint="cs"/>
          <w:sz w:val="24"/>
          <w:szCs w:val="24"/>
          <w:rtl/>
        </w:rPr>
        <w:t xml:space="preserve">עלה בבירור </w:t>
      </w:r>
      <w:r w:rsidRPr="00DA0495">
        <w:rPr>
          <w:rFonts w:ascii="David" w:hAnsi="David" w:cs="David" w:hint="cs"/>
          <w:sz w:val="24"/>
          <w:szCs w:val="24"/>
          <w:u w:val="single"/>
          <w:rtl/>
        </w:rPr>
        <w:t>שפריקת אקדח מבוצעת, ככלל, רק לאחר מטווח; לאחר ירי אחר; או לאחר שהנשק לא היה בחזקת המשתמש</w:t>
      </w:r>
      <w:r w:rsidRPr="003802AE">
        <w:rPr>
          <w:rFonts w:ascii="David" w:hAnsi="David" w:cs="David" w:hint="cs"/>
          <w:sz w:val="24"/>
          <w:szCs w:val="24"/>
          <w:rtl/>
        </w:rPr>
        <w:t xml:space="preserve">. במילים אחרות, בעוד שבעדות </w:t>
      </w:r>
      <w:r w:rsidRPr="001D195D">
        <w:rPr>
          <w:rFonts w:ascii="David" w:hAnsi="David" w:cs="David" w:hint="cs"/>
          <w:sz w:val="24"/>
          <w:szCs w:val="24"/>
          <w:rtl/>
        </w:rPr>
        <w:t xml:space="preserve">הנאשם </w:t>
      </w:r>
      <w:r>
        <w:rPr>
          <w:rFonts w:ascii="David" w:hAnsi="David" w:cs="David" w:hint="cs"/>
          <w:sz w:val="24"/>
          <w:szCs w:val="24"/>
          <w:rtl/>
        </w:rPr>
        <w:t xml:space="preserve">הוא טען </w:t>
      </w:r>
      <w:r w:rsidRPr="001D195D">
        <w:rPr>
          <w:rFonts w:ascii="David" w:hAnsi="David" w:cs="David" w:hint="cs"/>
          <w:sz w:val="24"/>
          <w:szCs w:val="24"/>
          <w:rtl/>
        </w:rPr>
        <w:t>(לראשונה</w:t>
      </w:r>
      <w:r>
        <w:rPr>
          <w:rFonts w:ascii="David" w:hAnsi="David" w:cs="David" w:hint="cs"/>
          <w:sz w:val="24"/>
          <w:szCs w:val="24"/>
          <w:rtl/>
        </w:rPr>
        <w:t>!</w:t>
      </w:r>
      <w:r w:rsidRPr="001D195D">
        <w:rPr>
          <w:rFonts w:ascii="David" w:hAnsi="David" w:cs="David" w:hint="cs"/>
          <w:sz w:val="24"/>
          <w:szCs w:val="24"/>
          <w:rtl/>
        </w:rPr>
        <w:t xml:space="preserve">) שנהג </w:t>
      </w:r>
      <w:r>
        <w:rPr>
          <w:rFonts w:ascii="David" w:hAnsi="David" w:cs="David" w:hint="cs"/>
          <w:sz w:val="24"/>
          <w:szCs w:val="24"/>
          <w:rtl/>
        </w:rPr>
        <w:t xml:space="preserve">דרך קבע </w:t>
      </w:r>
      <w:r w:rsidRPr="001D195D">
        <w:rPr>
          <w:rFonts w:ascii="David" w:hAnsi="David" w:cs="David" w:hint="cs"/>
          <w:sz w:val="24"/>
          <w:szCs w:val="24"/>
          <w:rtl/>
        </w:rPr>
        <w:t>לפרוק את אקדח</w:t>
      </w:r>
      <w:r>
        <w:rPr>
          <w:rFonts w:ascii="David" w:hAnsi="David" w:cs="David" w:hint="cs"/>
          <w:sz w:val="24"/>
          <w:szCs w:val="24"/>
          <w:rtl/>
        </w:rPr>
        <w:t>ו</w:t>
      </w:r>
      <w:r w:rsidRPr="001D195D">
        <w:rPr>
          <w:rFonts w:ascii="David" w:hAnsi="David" w:cs="David" w:hint="cs"/>
          <w:sz w:val="24"/>
          <w:szCs w:val="24"/>
          <w:rtl/>
        </w:rPr>
        <w:t xml:space="preserve"> בחדרו בתום כל יום</w:t>
      </w:r>
      <w:r>
        <w:rPr>
          <w:rFonts w:ascii="David" w:hAnsi="David" w:cs="David" w:hint="cs"/>
          <w:sz w:val="24"/>
          <w:szCs w:val="24"/>
          <w:rtl/>
        </w:rPr>
        <w:t xml:space="preserve"> פעילות</w:t>
      </w:r>
      <w:r w:rsidRPr="001D195D">
        <w:rPr>
          <w:rFonts w:ascii="David" w:hAnsi="David" w:cs="David" w:hint="cs"/>
          <w:sz w:val="24"/>
          <w:szCs w:val="24"/>
          <w:rtl/>
        </w:rPr>
        <w:t xml:space="preserve">, </w:t>
      </w:r>
      <w:r>
        <w:rPr>
          <w:rFonts w:ascii="David" w:hAnsi="David" w:cs="David" w:hint="cs"/>
          <w:sz w:val="24"/>
          <w:szCs w:val="24"/>
          <w:rtl/>
        </w:rPr>
        <w:t xml:space="preserve">או קרוב לכך, </w:t>
      </w:r>
      <w:r w:rsidRPr="001D195D">
        <w:rPr>
          <w:rFonts w:ascii="David" w:hAnsi="David" w:cs="David" w:hint="cs"/>
          <w:sz w:val="24"/>
          <w:szCs w:val="24"/>
          <w:rtl/>
        </w:rPr>
        <w:t xml:space="preserve">עלה בבירור </w:t>
      </w:r>
      <w:r>
        <w:rPr>
          <w:rFonts w:ascii="David" w:hAnsi="David" w:cs="David" w:hint="cs"/>
          <w:sz w:val="24"/>
          <w:szCs w:val="24"/>
          <w:rtl/>
        </w:rPr>
        <w:t xml:space="preserve">מהראיות </w:t>
      </w:r>
      <w:r w:rsidRPr="001D195D">
        <w:rPr>
          <w:rFonts w:ascii="David" w:hAnsi="David" w:cs="David" w:hint="cs"/>
          <w:sz w:val="24"/>
          <w:szCs w:val="24"/>
          <w:rtl/>
        </w:rPr>
        <w:t>כי הדבר כלל לא נדרש (ולמעשה, נאסר</w:t>
      </w:r>
      <w:r>
        <w:rPr>
          <w:rFonts w:ascii="David" w:hAnsi="David" w:cs="David" w:hint="cs"/>
          <w:sz w:val="24"/>
          <w:szCs w:val="24"/>
          <w:rtl/>
        </w:rPr>
        <w:t>!</w:t>
      </w:r>
      <w:r w:rsidRPr="001D195D">
        <w:rPr>
          <w:rFonts w:ascii="David" w:hAnsi="David" w:cs="David" w:hint="cs"/>
          <w:sz w:val="24"/>
          <w:szCs w:val="24"/>
          <w:rtl/>
        </w:rPr>
        <w:t>)</w:t>
      </w:r>
      <w:r>
        <w:rPr>
          <w:rFonts w:ascii="David" w:hAnsi="David" w:cs="David" w:hint="cs"/>
          <w:sz w:val="24"/>
          <w:szCs w:val="24"/>
          <w:rtl/>
        </w:rPr>
        <w:t>,</w:t>
      </w:r>
      <w:r w:rsidRPr="001D195D">
        <w:rPr>
          <w:rFonts w:ascii="David" w:hAnsi="David" w:cs="David" w:hint="cs"/>
          <w:sz w:val="24"/>
          <w:szCs w:val="24"/>
          <w:rtl/>
        </w:rPr>
        <w:t xml:space="preserve"> והפעולה היחידה לה נדרש לוחם בהגיעו בתום יום פעילות לחדרו</w:t>
      </w:r>
      <w:r>
        <w:rPr>
          <w:rFonts w:ascii="David" w:hAnsi="David" w:cs="David" w:hint="cs"/>
          <w:sz w:val="24"/>
          <w:szCs w:val="24"/>
          <w:rtl/>
        </w:rPr>
        <w:t>,</w:t>
      </w:r>
      <w:r w:rsidRPr="001D195D">
        <w:rPr>
          <w:rFonts w:ascii="David" w:hAnsi="David" w:cs="David" w:hint="cs"/>
          <w:sz w:val="24"/>
          <w:szCs w:val="24"/>
          <w:rtl/>
        </w:rPr>
        <w:t xml:space="preserve"> ה</w:t>
      </w:r>
      <w:r>
        <w:rPr>
          <w:rFonts w:ascii="David" w:hAnsi="David" w:cs="David" w:hint="cs"/>
          <w:sz w:val="24"/>
          <w:szCs w:val="24"/>
          <w:rtl/>
        </w:rPr>
        <w:t>י</w:t>
      </w:r>
      <w:r w:rsidRPr="001D195D">
        <w:rPr>
          <w:rFonts w:ascii="David" w:hAnsi="David" w:cs="David" w:hint="cs"/>
          <w:sz w:val="24"/>
          <w:szCs w:val="24"/>
          <w:rtl/>
        </w:rPr>
        <w:t>א לאחסן את האקדח במקום המיועד לכך בארון.</w:t>
      </w:r>
      <w:r>
        <w:rPr>
          <w:rFonts w:ascii="David" w:hAnsi="David" w:cs="David" w:hint="cs"/>
          <w:sz w:val="24"/>
          <w:szCs w:val="24"/>
          <w:rtl/>
        </w:rPr>
        <w:t xml:space="preserve"> הא ותו לא. </w:t>
      </w:r>
      <w:r w:rsidRPr="001D195D">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במענה לכך הנאשם אישר שעל פי הנוהל, פריקה מבוצעת רק באחד משלושת המצבים לעיל - בתום מטווח; לאחר ירי אחר; או לאחר שהאקדח לא היה בחזקת המשתמש (ר' לדוגמה חקירה נגדית, דיון מיום 26.1.23, עמ' 731 שורות 6-20). זאת ועוד, הנאשם אישר שהמטווח האחרון שביצע היה כחודש לפני האירוע. עם זאת, הנאשם טען כי קיים הבדל בין הנוהל לבין ה"חיים בפועל" (ר' לדוגמה חקירה נגדית, דיון מיום 5.1.23 עמ' 653 ואילך). בהקשר זה, תיאר הנאשם כי גם המנוח פרק את האקדח בחדרם לפני אירוע הירי.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הנאשם הוסיף כי בבסיס לא היתה עמדת פריקה מסודרת, ולכן נאלץ לבצע את הפריקה בחדר (שם, עמ' 655, שורה 31). כבר בשלב זה אציין כי טענה זו של הנאשם התבררה כלא נכונה מבחינה עובדתית. במסגרת פרשת התביעה מסרו עדים רבים כי בבסיס, השוכן בתחנת משטרה, יש עמדה לפריקת נשקים; ובכל מקרה בהמשך נראה כי הנאשם ממילא נסוג בו מגרסת ה"פריקה" ולכן השאלה האם היתה עמדת פריקה, אם לאו, התייתרה.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tl/>
        </w:rPr>
      </w:pPr>
      <w:r w:rsidRPr="00696720">
        <w:rPr>
          <w:rFonts w:ascii="David" w:hAnsi="David" w:cs="David" w:hint="cs"/>
          <w:b/>
          <w:bCs/>
          <w:sz w:val="24"/>
          <w:szCs w:val="24"/>
          <w:rtl/>
        </w:rPr>
        <w:t>לגבי סדר הפעולות הטכני-פיזי שביצע הנאשם באקדח, הוא תיארו כך</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hanging="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תחילה </w:t>
      </w:r>
      <w:r w:rsidRPr="00B359D4">
        <w:rPr>
          <w:rFonts w:ascii="David" w:hAnsi="David" w:cs="David" w:hint="cs"/>
          <w:sz w:val="24"/>
          <w:szCs w:val="24"/>
          <w:u w:val="single"/>
          <w:rtl/>
        </w:rPr>
        <w:t>לחץ על תפס המחסנית והוציאה מעט</w:t>
      </w:r>
      <w:r>
        <w:rPr>
          <w:rFonts w:ascii="David" w:hAnsi="David" w:cs="David" w:hint="cs"/>
          <w:sz w:val="24"/>
          <w:szCs w:val="24"/>
          <w:rtl/>
        </w:rPr>
        <w:t>, "</w:t>
      </w:r>
      <w:r w:rsidRPr="00274540">
        <w:rPr>
          <w:rFonts w:ascii="David" w:hAnsi="David" w:cs="David" w:hint="cs"/>
          <w:b/>
          <w:bCs/>
          <w:sz w:val="24"/>
          <w:szCs w:val="24"/>
          <w:rtl/>
        </w:rPr>
        <w:t xml:space="preserve">בשביל שלא יידרך כדור ושאם יש כדור </w:t>
      </w:r>
      <w:r w:rsidRPr="005B58F9">
        <w:rPr>
          <w:rFonts w:ascii="David" w:hAnsi="David" w:cs="David" w:hint="cs"/>
          <w:b/>
          <w:bCs/>
          <w:sz w:val="24"/>
          <w:szCs w:val="24"/>
          <w:rtl/>
        </w:rPr>
        <w:t>בבית הבליעה הוא יצא</w:t>
      </w:r>
      <w:r w:rsidRPr="005B58F9">
        <w:rPr>
          <w:rFonts w:ascii="David" w:hAnsi="David" w:cs="David" w:hint="cs"/>
          <w:sz w:val="24"/>
          <w:szCs w:val="24"/>
          <w:rtl/>
        </w:rPr>
        <w:t>" (דיון מיום 5.1.23, עמ' 613 שורות 4-5).</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jc w:val="both"/>
        <w:rPr>
          <w:rFonts w:ascii="David" w:hAnsi="David" w:cs="David"/>
          <w:sz w:val="24"/>
          <w:szCs w:val="24"/>
          <w:rtl/>
        </w:rPr>
      </w:pPr>
      <w:r>
        <w:rPr>
          <w:rFonts w:ascii="David" w:hAnsi="David" w:cs="David" w:hint="cs"/>
          <w:sz w:val="24"/>
          <w:szCs w:val="24"/>
          <w:rtl/>
        </w:rPr>
        <w:t xml:space="preserve">הנאשם נשאל מדוע לא הוציא את המחסנית לחלוטין, כפי שנעשה במהלך פריקה "תקנית" ותשובתו היתה זו: </w:t>
      </w:r>
    </w:p>
    <w:p w:rsidR="00272CAC" w:rsidRDefault="00272CAC" w:rsidP="00272CAC">
      <w:pPr>
        <w:pStyle w:val="ac"/>
        <w:spacing w:after="0" w:line="360" w:lineRule="auto"/>
        <w:jc w:val="both"/>
        <w:rPr>
          <w:rFonts w:ascii="David" w:hAnsi="David" w:cs="David"/>
          <w:sz w:val="24"/>
          <w:szCs w:val="24"/>
          <w:rtl/>
        </w:rPr>
      </w:pPr>
    </w:p>
    <w:p w:rsidR="00272CAC" w:rsidRDefault="00272CAC" w:rsidP="00272CAC">
      <w:pPr>
        <w:pStyle w:val="ac"/>
        <w:spacing w:after="0" w:line="360" w:lineRule="auto"/>
        <w:jc w:val="both"/>
        <w:rPr>
          <w:rFonts w:ascii="David" w:hAnsi="David" w:cs="David"/>
          <w:sz w:val="24"/>
          <w:szCs w:val="24"/>
          <w:rtl/>
        </w:rPr>
      </w:pPr>
      <w:r w:rsidRPr="00274540">
        <w:rPr>
          <w:rFonts w:ascii="David" w:hAnsi="David" w:cs="David" w:hint="cs"/>
          <w:b/>
          <w:bCs/>
          <w:sz w:val="24"/>
          <w:szCs w:val="24"/>
          <w:rtl/>
        </w:rPr>
        <w:t>"אין לי הסבר מדויק כבודו, אני רק יכול לבוא ולהגיד לך שברגע שאתה לוחץ על תפס המחסנית והיא משוחררת</w:t>
      </w:r>
      <w:r>
        <w:rPr>
          <w:rFonts w:ascii="David" w:hAnsi="David" w:cs="David" w:hint="cs"/>
          <w:b/>
          <w:bCs/>
          <w:sz w:val="24"/>
          <w:szCs w:val="24"/>
          <w:rtl/>
        </w:rPr>
        <w:t>,</w:t>
      </w:r>
      <w:r w:rsidRPr="00274540">
        <w:rPr>
          <w:rFonts w:ascii="David" w:hAnsi="David" w:cs="David" w:hint="cs"/>
          <w:b/>
          <w:bCs/>
          <w:sz w:val="24"/>
          <w:szCs w:val="24"/>
          <w:rtl/>
        </w:rPr>
        <w:t xml:space="preserve"> או שאתה מוציא אותה, זה אותן פעולות כי בסופו של דבר (כ)שיש את הרווח אפילו הכי קטן לא יכול להיגרף כדור</w:t>
      </w:r>
      <w:r>
        <w:rPr>
          <w:rFonts w:ascii="David" w:hAnsi="David" w:cs="David" w:hint="cs"/>
          <w:sz w:val="24"/>
          <w:szCs w:val="24"/>
          <w:rtl/>
        </w:rPr>
        <w:t xml:space="preserve">" (שם, עמ' 663 שורות 30-32); </w:t>
      </w:r>
    </w:p>
    <w:p w:rsidR="00272CAC" w:rsidRDefault="00272CAC" w:rsidP="00272CAC">
      <w:pPr>
        <w:pStyle w:val="ac"/>
        <w:spacing w:after="0" w:line="360" w:lineRule="auto"/>
        <w:ind w:hanging="360"/>
        <w:jc w:val="both"/>
        <w:rPr>
          <w:rFonts w:ascii="David" w:hAnsi="David" w:cs="David"/>
          <w:sz w:val="24"/>
          <w:szCs w:val="24"/>
          <w:rtl/>
        </w:rPr>
      </w:pPr>
    </w:p>
    <w:p w:rsidR="00272CAC" w:rsidRDefault="00272CAC" w:rsidP="00272CAC">
      <w:pPr>
        <w:pStyle w:val="ac"/>
        <w:spacing w:after="0" w:line="360" w:lineRule="auto"/>
        <w:ind w:hanging="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הפעולה הבאה אותה תיאר הנאשם היתה </w:t>
      </w:r>
      <w:r w:rsidRPr="00B359D4">
        <w:rPr>
          <w:rFonts w:ascii="David" w:hAnsi="David" w:cs="David" w:hint="cs"/>
          <w:sz w:val="24"/>
          <w:szCs w:val="24"/>
          <w:u w:val="single"/>
          <w:rtl/>
        </w:rPr>
        <w:t>דריכת הנשק</w:t>
      </w:r>
      <w:r>
        <w:rPr>
          <w:rFonts w:ascii="David" w:hAnsi="David" w:cs="David" w:hint="cs"/>
          <w:sz w:val="24"/>
          <w:szCs w:val="24"/>
          <w:rtl/>
        </w:rPr>
        <w:t xml:space="preserve"> (ר' לדוגמה עמ' 613, שורה 17); </w:t>
      </w:r>
    </w:p>
    <w:p w:rsidR="00272CAC" w:rsidRDefault="00272CAC" w:rsidP="00272CAC">
      <w:pPr>
        <w:pStyle w:val="ac"/>
        <w:spacing w:after="0" w:line="360" w:lineRule="auto"/>
        <w:ind w:hanging="360"/>
        <w:jc w:val="both"/>
        <w:rPr>
          <w:rFonts w:ascii="David" w:hAnsi="David" w:cs="David"/>
          <w:sz w:val="24"/>
          <w:szCs w:val="24"/>
          <w:rtl/>
        </w:rPr>
      </w:pPr>
    </w:p>
    <w:p w:rsidR="00272CAC" w:rsidRDefault="00272CAC" w:rsidP="00272CAC">
      <w:pPr>
        <w:pStyle w:val="ac"/>
        <w:spacing w:after="0" w:line="360" w:lineRule="auto"/>
        <w:ind w:hanging="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ולאחר מכן תיאר "</w:t>
      </w:r>
      <w:r w:rsidRPr="00D2568E">
        <w:rPr>
          <w:rFonts w:ascii="David" w:hAnsi="David" w:cs="David" w:hint="cs"/>
          <w:b/>
          <w:bCs/>
          <w:sz w:val="24"/>
          <w:szCs w:val="24"/>
          <w:rtl/>
        </w:rPr>
        <w:t>לחיצות קלות על ההדק</w:t>
      </w:r>
      <w:r>
        <w:rPr>
          <w:rFonts w:ascii="David" w:hAnsi="David" w:cs="David" w:hint="cs"/>
          <w:sz w:val="24"/>
          <w:szCs w:val="24"/>
          <w:rtl/>
        </w:rPr>
        <w:t xml:space="preserve">", וכן תיאר שבמקביל ללחיצות אלה הוא ביקש מהמנוח שיסתכל לעברו; </w:t>
      </w:r>
    </w:p>
    <w:p w:rsidR="00272CAC" w:rsidRDefault="00272CAC" w:rsidP="00272CAC">
      <w:pPr>
        <w:pStyle w:val="ac"/>
        <w:spacing w:after="0" w:line="360" w:lineRule="auto"/>
        <w:ind w:hanging="360"/>
        <w:jc w:val="both"/>
        <w:rPr>
          <w:rFonts w:ascii="David" w:hAnsi="David" w:cs="David"/>
          <w:sz w:val="24"/>
          <w:szCs w:val="24"/>
          <w:rtl/>
        </w:rPr>
      </w:pPr>
    </w:p>
    <w:p w:rsidR="00272CAC" w:rsidRDefault="00272CAC" w:rsidP="00272CAC">
      <w:pPr>
        <w:pStyle w:val="ac"/>
        <w:spacing w:after="0" w:line="360" w:lineRule="auto"/>
        <w:ind w:hanging="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הפעולה הבאה שתיאר היתה "</w:t>
      </w:r>
      <w:r w:rsidRPr="00D2568E">
        <w:rPr>
          <w:rFonts w:ascii="David" w:hAnsi="David" w:cs="David" w:hint="cs"/>
          <w:b/>
          <w:bCs/>
          <w:sz w:val="24"/>
          <w:szCs w:val="24"/>
          <w:rtl/>
        </w:rPr>
        <w:t>לחיצה ארוכה</w:t>
      </w:r>
      <w:r>
        <w:rPr>
          <w:rFonts w:ascii="David" w:hAnsi="David" w:cs="David" w:hint="cs"/>
          <w:sz w:val="24"/>
          <w:szCs w:val="24"/>
          <w:rtl/>
        </w:rPr>
        <w:t xml:space="preserve">" על ההדק (לדוגמה, עמ' 618 שורה 9) שגרמה לפליטת הקליע לעבר המנוח, לשיטת הנאשם מבלי שכיוון לעבר המנוח. </w:t>
      </w:r>
    </w:p>
    <w:p w:rsidR="00272CAC" w:rsidRDefault="00272CAC" w:rsidP="00272CAC">
      <w:pPr>
        <w:pStyle w:val="ac"/>
        <w:spacing w:after="0" w:line="360" w:lineRule="auto"/>
        <w:ind w:hanging="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tl/>
        </w:rPr>
      </w:pPr>
      <w:r>
        <w:rPr>
          <w:rFonts w:ascii="David" w:hAnsi="David" w:cs="David" w:hint="cs"/>
          <w:sz w:val="24"/>
          <w:szCs w:val="24"/>
          <w:rtl/>
        </w:rPr>
        <w:t xml:space="preserve">הנאשם נשאל באם הלחיצה האחרונה לעיל היתה רצונית, אם לאו. בשלבים מוקדמים של עדותו דומה היה שהוא מתקשה להחליט מה להשיב, אך בסופו של דבר ציין כי </w:t>
      </w:r>
      <w:r w:rsidRPr="001D195D">
        <w:rPr>
          <w:rFonts w:ascii="David" w:hAnsi="David" w:cs="David" w:hint="cs"/>
          <w:sz w:val="24"/>
          <w:szCs w:val="24"/>
          <w:u w:val="single"/>
          <w:rtl/>
        </w:rPr>
        <w:t>מדובר היה בפעולה לה התכוון, ואף הסביר ונימק זאת בכך שפעולת הפריקה היתה אמורה להסתיים בנקירה</w:t>
      </w:r>
      <w:r>
        <w:rPr>
          <w:rFonts w:ascii="David" w:hAnsi="David" w:cs="David" w:hint="cs"/>
          <w:sz w:val="24"/>
          <w:szCs w:val="24"/>
          <w:rtl/>
        </w:rPr>
        <w:t xml:space="preserve"> (עמ' 676 למטה).</w:t>
      </w:r>
    </w:p>
    <w:p w:rsidR="00272CAC" w:rsidRDefault="00272CAC" w:rsidP="00272CAC">
      <w:pPr>
        <w:pStyle w:val="ac"/>
        <w:spacing w:after="0" w:line="360" w:lineRule="auto"/>
        <w:ind w:hanging="360"/>
        <w:jc w:val="both"/>
        <w:rPr>
          <w:rFonts w:ascii="David" w:hAnsi="David" w:cs="David"/>
          <w:sz w:val="24"/>
          <w:szCs w:val="24"/>
          <w:rtl/>
        </w:rPr>
      </w:pPr>
    </w:p>
    <w:p w:rsidR="00272CAC" w:rsidRPr="00D472EE" w:rsidRDefault="00272CAC" w:rsidP="00272CAC">
      <w:pPr>
        <w:spacing w:line="360" w:lineRule="auto"/>
        <w:ind w:firstLine="360"/>
        <w:jc w:val="both"/>
        <w:rPr>
          <w:rFonts w:ascii="David" w:hAnsi="David"/>
          <w:rtl/>
        </w:rPr>
      </w:pPr>
      <w:r w:rsidRPr="00D472EE">
        <w:rPr>
          <w:rFonts w:ascii="David" w:hAnsi="David" w:hint="cs"/>
          <w:rtl/>
        </w:rPr>
        <w:t>הנאשם הרחיב לגבי פעולה זו ותיאר כי:</w:t>
      </w:r>
    </w:p>
    <w:p w:rsidR="00272CAC" w:rsidRDefault="00272CAC" w:rsidP="00272CAC">
      <w:pPr>
        <w:pStyle w:val="ac"/>
        <w:spacing w:after="0" w:line="360" w:lineRule="auto"/>
        <w:jc w:val="both"/>
        <w:rPr>
          <w:rFonts w:ascii="David" w:hAnsi="David" w:cs="David"/>
          <w:sz w:val="24"/>
          <w:szCs w:val="24"/>
          <w:rtl/>
        </w:rPr>
      </w:pPr>
    </w:p>
    <w:p w:rsidR="00272CAC" w:rsidRPr="00D472EE" w:rsidRDefault="00272CAC" w:rsidP="00272CAC">
      <w:pPr>
        <w:spacing w:line="360" w:lineRule="auto"/>
        <w:ind w:left="360"/>
        <w:jc w:val="both"/>
        <w:rPr>
          <w:rFonts w:ascii="David" w:hAnsi="David"/>
          <w:rtl/>
        </w:rPr>
      </w:pPr>
      <w:r w:rsidRPr="00D472EE">
        <w:rPr>
          <w:rFonts w:ascii="David" w:hAnsi="David" w:hint="cs"/>
          <w:rtl/>
        </w:rPr>
        <w:t>"</w:t>
      </w:r>
      <w:r w:rsidRPr="00D472EE">
        <w:rPr>
          <w:rFonts w:ascii="David" w:hAnsi="David" w:hint="cs"/>
          <w:b/>
          <w:bCs/>
          <w:rtl/>
        </w:rPr>
        <w:t>כשאני ביצעתי את הפריקה (כ)שאני לחצתי על תפס המחסנית (כ)שאני ביצעתי דריכה ולאחר שידעתי שאין כדור (כ)שהייתי בטוח במאה אחוז שאין כדור בבית בליעה שאני אמרתי לנעים תראה תראה ... שלחתי לחיצות קטנות על ההדק ולאחר מכן לחצתי לחיצה ארוכה ועף כדור ואני לא האמנתי שעף כדור, רציתי שהוא יראה איך אני לוחץ על ההדק..</w:t>
      </w:r>
      <w:r w:rsidRPr="00D472EE">
        <w:rPr>
          <w:rFonts w:ascii="David" w:hAnsi="David" w:hint="cs"/>
          <w:rtl/>
        </w:rPr>
        <w:t xml:space="preserve">" (חקירה נגדית, דיון מיום 5.1.23, עמוד 665 שורות 14-17). </w:t>
      </w:r>
    </w:p>
    <w:p w:rsidR="00272CAC" w:rsidRDefault="00272CAC" w:rsidP="00272CAC">
      <w:pPr>
        <w:pStyle w:val="ac"/>
        <w:spacing w:after="0" w:line="360" w:lineRule="auto"/>
        <w:jc w:val="both"/>
        <w:rPr>
          <w:rFonts w:ascii="David" w:hAnsi="David" w:cs="David"/>
          <w:sz w:val="24"/>
          <w:szCs w:val="24"/>
          <w:rtl/>
        </w:rPr>
      </w:pPr>
    </w:p>
    <w:p w:rsidR="00272CAC" w:rsidRPr="00D472EE" w:rsidRDefault="00272CAC" w:rsidP="00272CAC">
      <w:pPr>
        <w:spacing w:line="360" w:lineRule="auto"/>
        <w:ind w:left="360"/>
        <w:jc w:val="both"/>
        <w:rPr>
          <w:rFonts w:ascii="David" w:hAnsi="David"/>
          <w:rtl/>
        </w:rPr>
      </w:pPr>
      <w:r w:rsidRPr="00D472EE">
        <w:rPr>
          <w:rFonts w:ascii="David" w:hAnsi="David" w:hint="cs"/>
          <w:rtl/>
        </w:rPr>
        <w:t xml:space="preserve">בהמשך, הנאשם הוסיף שכאשר היה פורק את הנשק, נהג לבקש מהמנוח להסתכל, וכך גם להיפך; וכדבריו: </w:t>
      </w:r>
    </w:p>
    <w:p w:rsidR="00272CAC" w:rsidRDefault="00272CAC" w:rsidP="00272CAC">
      <w:pPr>
        <w:pStyle w:val="ac"/>
        <w:spacing w:after="0" w:line="360" w:lineRule="auto"/>
        <w:jc w:val="both"/>
        <w:rPr>
          <w:rFonts w:ascii="David" w:hAnsi="David" w:cs="David"/>
          <w:sz w:val="24"/>
          <w:szCs w:val="24"/>
          <w:rtl/>
        </w:rPr>
      </w:pPr>
    </w:p>
    <w:p w:rsidR="00272CAC" w:rsidRPr="00D472EE" w:rsidRDefault="00272CAC" w:rsidP="00272CAC">
      <w:pPr>
        <w:spacing w:line="360" w:lineRule="auto"/>
        <w:ind w:left="360"/>
        <w:jc w:val="both"/>
        <w:rPr>
          <w:rFonts w:ascii="David" w:hAnsi="David"/>
          <w:rtl/>
        </w:rPr>
      </w:pPr>
      <w:r w:rsidRPr="00D472EE">
        <w:rPr>
          <w:rFonts w:ascii="David" w:hAnsi="David" w:hint="cs"/>
          <w:rtl/>
        </w:rPr>
        <w:t>"</w:t>
      </w:r>
      <w:r w:rsidRPr="00D472EE">
        <w:rPr>
          <w:rFonts w:ascii="David" w:hAnsi="David" w:hint="cs"/>
          <w:b/>
          <w:bCs/>
          <w:rtl/>
        </w:rPr>
        <w:t>כשהייתי עושה פריקות הייתי אומר לו להסתכל ו(כ)שהוא היה עושה פריקות הוא היה אומר לי להסתכל ... אין לי הסבר חוץ מזה שרציתי שהוא יראה איך אני לוחץ לחיצות קטנות על ההדק... אין לי הסבר למה, זה משהו שהוא היה מראה לי ואני הייתי מראה לו.."</w:t>
      </w:r>
      <w:r w:rsidRPr="00D472EE">
        <w:rPr>
          <w:rFonts w:ascii="David" w:hAnsi="David" w:hint="cs"/>
          <w:rtl/>
        </w:rPr>
        <w:t xml:space="preserve"> (שם, עמ' 666).</w:t>
      </w:r>
    </w:p>
    <w:p w:rsidR="00272CAC" w:rsidRDefault="00272CAC" w:rsidP="00272CAC">
      <w:pPr>
        <w:pStyle w:val="ac"/>
        <w:spacing w:after="0" w:line="360" w:lineRule="auto"/>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tl/>
        </w:rPr>
      </w:pPr>
      <w:r>
        <w:rPr>
          <w:rFonts w:ascii="David" w:hAnsi="David" w:cs="David" w:hint="cs"/>
          <w:sz w:val="24"/>
          <w:szCs w:val="24"/>
          <w:rtl/>
        </w:rPr>
        <w:t xml:space="preserve">כאמור, הנאשם חזר וטען כי אינו מבין מה גרם לפליטת הקליע לעבר המנוח, שכן, לשיטתו, הפעולות שביצע נועדו למנוע מצב שכזה, וכדבריו: </w:t>
      </w:r>
    </w:p>
    <w:p w:rsidR="00272CAC" w:rsidRDefault="00272CAC" w:rsidP="00272CAC">
      <w:pPr>
        <w:pStyle w:val="ac"/>
        <w:spacing w:after="0" w:line="360" w:lineRule="auto"/>
        <w:jc w:val="both"/>
        <w:rPr>
          <w:rFonts w:ascii="David" w:hAnsi="David" w:cs="David"/>
          <w:sz w:val="24"/>
          <w:szCs w:val="24"/>
          <w:rtl/>
        </w:rPr>
      </w:pPr>
    </w:p>
    <w:p w:rsidR="00272CAC" w:rsidRPr="00D472EE" w:rsidRDefault="00272CAC" w:rsidP="00272CAC">
      <w:pPr>
        <w:spacing w:line="360" w:lineRule="auto"/>
        <w:ind w:left="360"/>
        <w:jc w:val="both"/>
        <w:rPr>
          <w:rFonts w:ascii="David" w:hAnsi="David"/>
          <w:rtl/>
        </w:rPr>
      </w:pPr>
      <w:r w:rsidRPr="00D472EE">
        <w:rPr>
          <w:rFonts w:ascii="David" w:hAnsi="David" w:hint="cs"/>
          <w:b/>
          <w:bCs/>
          <w:rtl/>
        </w:rPr>
        <w:t>"..לא מבין ולא מצליח להבין את זה קרה כי אני עשיתי את כל הפעולות בכדי שלא יקרה המצב הזה</w:t>
      </w:r>
      <w:r w:rsidRPr="00D472EE">
        <w:rPr>
          <w:rFonts w:ascii="David" w:hAnsi="David" w:hint="cs"/>
          <w:rtl/>
        </w:rPr>
        <w:t xml:space="preserve">" (עדות ראשית, דיון מיום 5.1.23 עמ' 612, שורות 9-10); </w:t>
      </w:r>
    </w:p>
    <w:p w:rsidR="00272CAC" w:rsidRDefault="00272CAC" w:rsidP="00272CAC">
      <w:pPr>
        <w:pStyle w:val="ac"/>
        <w:spacing w:after="0" w:line="360" w:lineRule="auto"/>
        <w:jc w:val="both"/>
        <w:rPr>
          <w:rFonts w:ascii="David" w:hAnsi="David" w:cs="David"/>
          <w:sz w:val="24"/>
          <w:szCs w:val="24"/>
          <w:rtl/>
        </w:rPr>
      </w:pPr>
    </w:p>
    <w:p w:rsidR="00272CAC" w:rsidRPr="00F85C1D" w:rsidRDefault="00272CAC" w:rsidP="00272CAC">
      <w:pPr>
        <w:spacing w:line="360" w:lineRule="auto"/>
        <w:ind w:firstLine="360"/>
        <w:jc w:val="both"/>
        <w:rPr>
          <w:rFonts w:ascii="David" w:hAnsi="David"/>
          <w:rtl/>
        </w:rPr>
      </w:pPr>
      <w:r w:rsidRPr="00F85C1D">
        <w:rPr>
          <w:rFonts w:ascii="David" w:hAnsi="David" w:hint="cs"/>
          <w:rtl/>
        </w:rPr>
        <w:t xml:space="preserve">וכן: </w:t>
      </w:r>
    </w:p>
    <w:p w:rsidR="00272CAC" w:rsidRDefault="00272CAC" w:rsidP="00272CAC">
      <w:pPr>
        <w:pStyle w:val="ac"/>
        <w:spacing w:after="0" w:line="360" w:lineRule="auto"/>
        <w:jc w:val="both"/>
        <w:rPr>
          <w:rFonts w:ascii="David" w:hAnsi="David" w:cs="David"/>
          <w:sz w:val="24"/>
          <w:szCs w:val="24"/>
          <w:rtl/>
        </w:rPr>
      </w:pPr>
    </w:p>
    <w:p w:rsidR="00272CAC" w:rsidRPr="00F85C1D" w:rsidRDefault="00272CAC" w:rsidP="00272CAC">
      <w:pPr>
        <w:spacing w:line="360" w:lineRule="auto"/>
        <w:ind w:left="360"/>
        <w:jc w:val="both"/>
        <w:rPr>
          <w:rFonts w:ascii="David" w:hAnsi="David"/>
          <w:rtl/>
        </w:rPr>
      </w:pPr>
      <w:r w:rsidRPr="00F85C1D">
        <w:rPr>
          <w:rFonts w:ascii="David" w:hAnsi="David" w:hint="cs"/>
          <w:rtl/>
        </w:rPr>
        <w:t>"</w:t>
      </w:r>
      <w:r w:rsidRPr="00F85C1D">
        <w:rPr>
          <w:rFonts w:ascii="David" w:hAnsi="David" w:hint="cs"/>
          <w:b/>
          <w:bCs/>
          <w:rtl/>
        </w:rPr>
        <w:t>.. הייתי בטוח במאה אחוז שאין כדור... זה לא חס וחלילה שדרכתי (כ)שהמחסנית הייתה בפנים. אני לחצתי על התפס בכוונה שלא יקרה המצב הזה</w:t>
      </w:r>
      <w:r w:rsidRPr="00F85C1D">
        <w:rPr>
          <w:rFonts w:ascii="David" w:hAnsi="David" w:hint="cs"/>
          <w:rtl/>
        </w:rPr>
        <w:t xml:space="preserve">" (שם, עמ' 613, שורות 26-28). </w:t>
      </w:r>
    </w:p>
    <w:p w:rsidR="00272CAC" w:rsidRDefault="00272CAC" w:rsidP="00272CAC">
      <w:pPr>
        <w:pStyle w:val="ac"/>
        <w:spacing w:after="0" w:line="360" w:lineRule="auto"/>
        <w:jc w:val="both"/>
        <w:rPr>
          <w:rFonts w:ascii="David" w:hAnsi="David" w:cs="David"/>
          <w:sz w:val="24"/>
          <w:szCs w:val="24"/>
          <w:rtl/>
        </w:rPr>
      </w:pPr>
    </w:p>
    <w:p w:rsidR="00272CAC" w:rsidRPr="00F85C1D" w:rsidRDefault="00272CAC" w:rsidP="00272CAC">
      <w:pPr>
        <w:spacing w:line="360" w:lineRule="auto"/>
        <w:ind w:left="360"/>
        <w:jc w:val="both"/>
        <w:rPr>
          <w:rFonts w:ascii="David" w:hAnsi="David"/>
          <w:rtl/>
        </w:rPr>
      </w:pPr>
      <w:r w:rsidRPr="00F85C1D">
        <w:rPr>
          <w:rFonts w:ascii="David" w:hAnsi="David" w:hint="cs"/>
          <w:rtl/>
        </w:rPr>
        <w:lastRenderedPageBreak/>
        <w:t>הנאשם הוסיף שלא כיוון את האקדח לכוונו של המנוח ואין לו מושג כיצד האחרון נורה בראשו (לדוגמה, שם, עמ' 667)</w:t>
      </w:r>
    </w:p>
    <w:p w:rsidR="00272CAC" w:rsidRDefault="00272CAC" w:rsidP="00272CAC">
      <w:pPr>
        <w:pStyle w:val="ac"/>
        <w:spacing w:after="0" w:line="360" w:lineRule="auto"/>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A0530F">
        <w:rPr>
          <w:rFonts w:ascii="David" w:hAnsi="David" w:cs="David" w:hint="cs"/>
          <w:sz w:val="24"/>
          <w:szCs w:val="24"/>
          <w:rtl/>
        </w:rPr>
        <w:t xml:space="preserve">הנאשם נשאל מדוע כינה את הפעולות שביצע כ"פריקה", והרי מרבית פעולות הפריקה המרכזיות (הוצאת </w:t>
      </w:r>
      <w:r>
        <w:rPr>
          <w:rFonts w:ascii="David" w:hAnsi="David" w:cs="David" w:hint="cs"/>
          <w:sz w:val="24"/>
          <w:szCs w:val="24"/>
          <w:rtl/>
        </w:rPr>
        <w:t>כל ה</w:t>
      </w:r>
      <w:r w:rsidRPr="00A0530F">
        <w:rPr>
          <w:rFonts w:ascii="David" w:hAnsi="David" w:cs="David" w:hint="cs"/>
          <w:sz w:val="24"/>
          <w:szCs w:val="24"/>
          <w:rtl/>
        </w:rPr>
        <w:t>מחסנית</w:t>
      </w:r>
      <w:r>
        <w:rPr>
          <w:rFonts w:ascii="David" w:hAnsi="David" w:cs="David" w:hint="cs"/>
          <w:sz w:val="24"/>
          <w:szCs w:val="24"/>
          <w:rtl/>
        </w:rPr>
        <w:t xml:space="preserve"> מבּאֵר המחסנית</w:t>
      </w:r>
      <w:r w:rsidRPr="00A0530F">
        <w:rPr>
          <w:rFonts w:ascii="David" w:hAnsi="David" w:cs="David" w:hint="cs"/>
          <w:sz w:val="24"/>
          <w:szCs w:val="24"/>
          <w:rtl/>
        </w:rPr>
        <w:t>, התבוננות בבית הבליעה</w:t>
      </w:r>
      <w:r>
        <w:rPr>
          <w:rFonts w:ascii="David" w:hAnsi="David" w:cs="David" w:hint="cs"/>
          <w:sz w:val="24"/>
          <w:szCs w:val="24"/>
          <w:rtl/>
        </w:rPr>
        <w:t>, דריכה, ועוד</w:t>
      </w:r>
      <w:r w:rsidRPr="00A0530F">
        <w:rPr>
          <w:rFonts w:ascii="David" w:hAnsi="David" w:cs="David" w:hint="cs"/>
          <w:sz w:val="24"/>
          <w:szCs w:val="24"/>
          <w:rtl/>
        </w:rPr>
        <w:t>) כלל לא בוצעו</w:t>
      </w:r>
      <w:r>
        <w:rPr>
          <w:rFonts w:ascii="David" w:hAnsi="David" w:cs="David" w:hint="cs"/>
          <w:sz w:val="24"/>
          <w:szCs w:val="24"/>
          <w:rtl/>
        </w:rPr>
        <w:t>. תשובת הנאשם היתה:</w:t>
      </w:r>
      <w:r w:rsidRPr="00A0530F">
        <w:rPr>
          <w:rFonts w:ascii="David" w:hAnsi="David" w:cs="David" w:hint="cs"/>
          <w:sz w:val="24"/>
          <w:szCs w:val="24"/>
          <w:rtl/>
        </w:rPr>
        <w:t xml:space="preserve"> "</w:t>
      </w:r>
      <w:r w:rsidRPr="00A0530F">
        <w:rPr>
          <w:rFonts w:ascii="David" w:hAnsi="David" w:cs="David" w:hint="cs"/>
          <w:b/>
          <w:bCs/>
          <w:sz w:val="24"/>
          <w:szCs w:val="24"/>
          <w:rtl/>
        </w:rPr>
        <w:t>זו הפריקה שהיינו מבצעים ביחידה אם זה ללחוץ על תפס המחסנית ולאחר מכן לבצע דריכה ולאחר מכן נקירה .."</w:t>
      </w:r>
      <w:r w:rsidRPr="00A0530F">
        <w:rPr>
          <w:rFonts w:ascii="David" w:hAnsi="David" w:cs="David" w:hint="cs"/>
          <w:sz w:val="24"/>
          <w:szCs w:val="24"/>
          <w:rtl/>
        </w:rPr>
        <w:t xml:space="preserve"> (דיון מיום 5.1.23 עמ' 664 שורות 15-16).</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גם בהקשר זה אציין כבר בשלב זה, שמעבר לכך שטענת הנאשם בהקשר זה כלל לא הוטחה באף לא אחד מעדי המאשימה (ומאליו יוצא שלא הוקם ולו ספק סביר בהקשר זה); ממילא הנאשם זנח בהמשך עדותו את טענת הפריקה, ולכן הדיון בטענה זו התייתר. </w:t>
      </w:r>
    </w:p>
    <w:p w:rsidR="00272CAC" w:rsidRPr="002F5AE6"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sidRPr="003802AE">
        <w:rPr>
          <w:rFonts w:ascii="David" w:hAnsi="David" w:cs="David" w:hint="cs"/>
          <w:sz w:val="24"/>
          <w:szCs w:val="24"/>
          <w:rtl/>
        </w:rPr>
        <w:t>בהמשך לאמור לעיל, הופנה הנאשם לאמרתו בפני המדובב (ת/13 עמ' 23) שם כינה את מעשיו כמשחק ("</w:t>
      </w:r>
      <w:r w:rsidRPr="003802AE">
        <w:rPr>
          <w:rFonts w:ascii="David" w:hAnsi="David" w:cs="David" w:hint="cs"/>
          <w:b/>
          <w:bCs/>
          <w:sz w:val="24"/>
          <w:szCs w:val="24"/>
          <w:rtl/>
        </w:rPr>
        <w:t>שיחקנו</w:t>
      </w:r>
      <w:r w:rsidRPr="003802AE">
        <w:rPr>
          <w:rFonts w:ascii="David" w:hAnsi="David" w:cs="David" w:hint="cs"/>
          <w:sz w:val="24"/>
          <w:szCs w:val="24"/>
          <w:rtl/>
        </w:rPr>
        <w:t xml:space="preserve">"). נטען בפני הנאשם ש"פריקה", גם אם אינה "לפי הספר" אינה "משחק", שכן מטרת הפריקה היא לוודא שהנשק פרוק, בעוד שמי ש"משחק" עם נשק עושה זאת למטרות אחרות. </w:t>
      </w:r>
    </w:p>
    <w:p w:rsidR="00272CAC" w:rsidRDefault="00272CAC" w:rsidP="00272CAC">
      <w:pPr>
        <w:pStyle w:val="ac"/>
        <w:spacing w:after="0" w:line="360" w:lineRule="auto"/>
        <w:ind w:left="360"/>
        <w:jc w:val="both"/>
        <w:rPr>
          <w:rFonts w:ascii="David" w:hAnsi="David" w:cs="David"/>
          <w:sz w:val="24"/>
          <w:szCs w:val="24"/>
          <w:rtl/>
        </w:rPr>
      </w:pPr>
    </w:p>
    <w:p w:rsidR="00272CAC" w:rsidRPr="003802AE" w:rsidRDefault="00272CAC" w:rsidP="00272CAC">
      <w:pPr>
        <w:pStyle w:val="ac"/>
        <w:spacing w:after="0" w:line="360" w:lineRule="auto"/>
        <w:ind w:left="360"/>
        <w:jc w:val="both"/>
        <w:rPr>
          <w:rFonts w:ascii="David" w:hAnsi="David" w:cs="David"/>
          <w:sz w:val="24"/>
          <w:szCs w:val="24"/>
          <w:rtl/>
        </w:rPr>
      </w:pPr>
      <w:r w:rsidRPr="003802AE">
        <w:rPr>
          <w:rFonts w:ascii="David" w:hAnsi="David" w:cs="David" w:hint="cs"/>
          <w:sz w:val="24"/>
          <w:szCs w:val="24"/>
          <w:rtl/>
        </w:rPr>
        <w:t>הסברו של הנאשם לשאלות בנדון היה ש"</w:t>
      </w:r>
      <w:r w:rsidRPr="003802AE">
        <w:rPr>
          <w:rFonts w:ascii="David" w:hAnsi="David" w:cs="David" w:hint="cs"/>
          <w:b/>
          <w:bCs/>
          <w:sz w:val="24"/>
          <w:szCs w:val="24"/>
          <w:rtl/>
        </w:rPr>
        <w:t>אני קורא משחק לכוונה שלחצתי לחיצות קטנות על ההדק</w:t>
      </w:r>
      <w:r w:rsidRPr="003802AE">
        <w:rPr>
          <w:rFonts w:ascii="David" w:hAnsi="David" w:cs="David" w:hint="cs"/>
          <w:sz w:val="24"/>
          <w:szCs w:val="24"/>
          <w:rtl/>
        </w:rPr>
        <w:t xml:space="preserve">" (פרוטוקול הדיון מיום 5.1.23, עמ' 684 שורה 15).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משמע, ה</w:t>
      </w:r>
      <w:r w:rsidRPr="00A0530F">
        <w:rPr>
          <w:rFonts w:ascii="David" w:hAnsi="David" w:cs="David" w:hint="cs"/>
          <w:sz w:val="24"/>
          <w:szCs w:val="24"/>
          <w:rtl/>
        </w:rPr>
        <w:t>נאשם, בשלב זה של עדותו</w:t>
      </w:r>
      <w:r>
        <w:rPr>
          <w:rFonts w:ascii="David" w:hAnsi="David" w:cs="David" w:hint="cs"/>
          <w:sz w:val="24"/>
          <w:szCs w:val="24"/>
          <w:rtl/>
        </w:rPr>
        <w:t>,</w:t>
      </w:r>
      <w:r w:rsidRPr="00A0530F">
        <w:rPr>
          <w:rFonts w:ascii="David" w:hAnsi="David" w:cs="David" w:hint="cs"/>
          <w:sz w:val="24"/>
          <w:szCs w:val="24"/>
          <w:rtl/>
        </w:rPr>
        <w:t xml:space="preserve"> </w:t>
      </w:r>
      <w:r>
        <w:rPr>
          <w:rFonts w:ascii="David" w:hAnsi="David" w:cs="David" w:hint="cs"/>
          <w:sz w:val="24"/>
          <w:szCs w:val="24"/>
          <w:rtl/>
        </w:rPr>
        <w:t xml:space="preserve">(עדיין) </w:t>
      </w:r>
      <w:r w:rsidRPr="00A0530F">
        <w:rPr>
          <w:rFonts w:ascii="David" w:hAnsi="David" w:cs="David" w:hint="cs"/>
          <w:sz w:val="24"/>
          <w:szCs w:val="24"/>
          <w:rtl/>
        </w:rPr>
        <w:t>עמד על טענתו כי כוונתו היתה לפרוק את הנשק</w:t>
      </w:r>
      <w:r>
        <w:rPr>
          <w:rFonts w:ascii="David" w:hAnsi="David" w:cs="David" w:hint="cs"/>
          <w:sz w:val="24"/>
          <w:szCs w:val="24"/>
          <w:rtl/>
        </w:rPr>
        <w:t>;</w:t>
      </w:r>
      <w:r w:rsidRPr="00A0530F">
        <w:rPr>
          <w:rFonts w:ascii="David" w:hAnsi="David" w:cs="David" w:hint="cs"/>
          <w:sz w:val="24"/>
          <w:szCs w:val="24"/>
          <w:rtl/>
        </w:rPr>
        <w:t xml:space="preserve"> </w:t>
      </w:r>
      <w:r>
        <w:rPr>
          <w:rFonts w:ascii="David" w:hAnsi="David" w:cs="David" w:hint="cs"/>
          <w:sz w:val="24"/>
          <w:szCs w:val="24"/>
          <w:rtl/>
        </w:rPr>
        <w:t xml:space="preserve">בעוד </w:t>
      </w:r>
      <w:r w:rsidRPr="00A0530F">
        <w:rPr>
          <w:rFonts w:ascii="David" w:hAnsi="David" w:cs="David" w:hint="cs"/>
          <w:sz w:val="24"/>
          <w:szCs w:val="24"/>
          <w:rtl/>
        </w:rPr>
        <w:t xml:space="preserve">ה"משחק" בנשק התייחס רק לשלב </w:t>
      </w:r>
      <w:r>
        <w:rPr>
          <w:rFonts w:ascii="David" w:hAnsi="David" w:cs="David" w:hint="cs"/>
          <w:sz w:val="24"/>
          <w:szCs w:val="24"/>
          <w:rtl/>
        </w:rPr>
        <w:t xml:space="preserve">האחרון בתהליך הפריקה </w:t>
      </w:r>
      <w:r w:rsidRPr="00A0530F">
        <w:rPr>
          <w:rFonts w:ascii="David" w:hAnsi="David" w:cs="David" w:hint="cs"/>
          <w:sz w:val="24"/>
          <w:szCs w:val="24"/>
          <w:rtl/>
        </w:rPr>
        <w:t>בו לחץ "ל</w:t>
      </w:r>
      <w:r w:rsidRPr="00A0530F">
        <w:rPr>
          <w:rFonts w:ascii="David" w:hAnsi="David" w:cs="David" w:hint="cs"/>
          <w:b/>
          <w:bCs/>
          <w:sz w:val="24"/>
          <w:szCs w:val="24"/>
          <w:rtl/>
        </w:rPr>
        <w:t>חיצות קטנות על ההדק</w:t>
      </w:r>
      <w:r w:rsidRPr="00A0530F">
        <w:rPr>
          <w:rFonts w:ascii="David" w:hAnsi="David" w:cs="David" w:hint="cs"/>
          <w:sz w:val="24"/>
          <w:szCs w:val="24"/>
          <w:rtl/>
        </w:rPr>
        <w:t>" (ר' לדוגמה</w:t>
      </w:r>
      <w:r>
        <w:rPr>
          <w:rFonts w:ascii="David" w:hAnsi="David" w:cs="David" w:hint="cs"/>
          <w:sz w:val="24"/>
          <w:szCs w:val="24"/>
          <w:rtl/>
        </w:rPr>
        <w:t>,</w:t>
      </w:r>
      <w:r w:rsidRPr="00A0530F">
        <w:rPr>
          <w:rFonts w:ascii="David" w:hAnsi="David" w:cs="David" w:hint="cs"/>
          <w:sz w:val="24"/>
          <w:szCs w:val="24"/>
          <w:rtl/>
        </w:rPr>
        <w:t xml:space="preserve"> האמור בעמ' 686-687).</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לגרסה לעיל היה "פיתוח" מה, כאשר בשלב מסוים שינה אותה וטען כך:</w:t>
      </w:r>
    </w:p>
    <w:p w:rsidR="00272CAC" w:rsidRPr="00696720"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w:t>
      </w:r>
      <w:r w:rsidRPr="00B359D4">
        <w:rPr>
          <w:rFonts w:ascii="David" w:hAnsi="David" w:cs="David" w:hint="cs"/>
          <w:b/>
          <w:bCs/>
          <w:sz w:val="24"/>
          <w:szCs w:val="24"/>
          <w:rtl/>
        </w:rPr>
        <w:t>אני לא התכוונתי לבצע לחיצה ארוכה ותוך כדי הלחיצות הקטנות נלחצה הלחיצה. זו הכוונה שלי</w:t>
      </w:r>
      <w:r>
        <w:rPr>
          <w:rFonts w:ascii="David" w:hAnsi="David" w:cs="David" w:hint="cs"/>
          <w:sz w:val="24"/>
          <w:szCs w:val="24"/>
          <w:rtl/>
        </w:rPr>
        <w:t xml:space="preserve">" (סימני הפיסוק אינם במקור </w:t>
      </w:r>
      <w:r>
        <w:rPr>
          <w:rFonts w:ascii="David" w:hAnsi="David" w:cs="David"/>
          <w:sz w:val="24"/>
          <w:szCs w:val="24"/>
          <w:rtl/>
        </w:rPr>
        <w:t>–</w:t>
      </w:r>
      <w:r>
        <w:rPr>
          <w:rFonts w:ascii="David" w:hAnsi="David" w:cs="David" w:hint="cs"/>
          <w:sz w:val="24"/>
          <w:szCs w:val="24"/>
          <w:rtl/>
        </w:rPr>
        <w:t xml:space="preserve"> י.ל.; דיון מיום 5.1.23, עמ' 687 למטה);</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עם זאת, מיד בהמשך שב וטען כי גם אם לא התכוון באותה שנייה לנקור, אזי בהחלט היה עושה זאת כחלק מתהליך ה"פריקה" (שם, עמ' 688).</w:t>
      </w:r>
    </w:p>
    <w:p w:rsidR="00272CAC" w:rsidRDefault="00272CAC" w:rsidP="00272CAC">
      <w:pPr>
        <w:pStyle w:val="ac"/>
        <w:spacing w:after="0" w:line="360" w:lineRule="auto"/>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9B6C2F">
        <w:rPr>
          <w:rFonts w:ascii="David" w:hAnsi="David" w:cs="David" w:hint="cs"/>
          <w:sz w:val="24"/>
          <w:szCs w:val="24"/>
          <w:rtl/>
        </w:rPr>
        <w:lastRenderedPageBreak/>
        <w:t>הנאשם הכחיש ש"שיחק" במה ש</w:t>
      </w:r>
      <w:r>
        <w:rPr>
          <w:rFonts w:ascii="David" w:hAnsi="David" w:cs="David" w:hint="cs"/>
          <w:sz w:val="24"/>
          <w:szCs w:val="24"/>
          <w:rtl/>
        </w:rPr>
        <w:t>מ</w:t>
      </w:r>
      <w:r w:rsidRPr="009B6C2F">
        <w:rPr>
          <w:rFonts w:ascii="David" w:hAnsi="David" w:cs="David" w:hint="cs"/>
          <w:sz w:val="24"/>
          <w:szCs w:val="24"/>
          <w:rtl/>
        </w:rPr>
        <w:t>כונה "משחק איציק"</w:t>
      </w:r>
      <w:r>
        <w:rPr>
          <w:rFonts w:ascii="David" w:hAnsi="David" w:cs="David" w:hint="cs"/>
          <w:sz w:val="24"/>
          <w:szCs w:val="24"/>
          <w:rtl/>
        </w:rPr>
        <w:t xml:space="preserve"> (</w:t>
      </w:r>
      <w:r w:rsidRPr="009B6C2F">
        <w:rPr>
          <w:rFonts w:ascii="David" w:hAnsi="David" w:cs="David" w:hint="cs"/>
          <w:sz w:val="24"/>
          <w:szCs w:val="24"/>
          <w:rtl/>
        </w:rPr>
        <w:t>סדרת פעולות בה דורכים את ה</w:t>
      </w:r>
      <w:r>
        <w:rPr>
          <w:rFonts w:ascii="David" w:hAnsi="David" w:cs="David" w:hint="cs"/>
          <w:sz w:val="24"/>
          <w:szCs w:val="24"/>
          <w:rtl/>
        </w:rPr>
        <w:t xml:space="preserve">נשק </w:t>
      </w:r>
      <w:r w:rsidRPr="009B6C2F">
        <w:rPr>
          <w:rFonts w:ascii="David" w:hAnsi="David" w:cs="David" w:hint="cs"/>
          <w:sz w:val="24"/>
          <w:szCs w:val="24"/>
          <w:rtl/>
        </w:rPr>
        <w:t xml:space="preserve"> ובו זמנית משחררים את תפס המחסנית, ומיד לאחר מכן </w:t>
      </w:r>
      <w:r>
        <w:rPr>
          <w:rFonts w:ascii="David" w:hAnsi="David" w:cs="David" w:hint="cs"/>
          <w:sz w:val="24"/>
          <w:szCs w:val="24"/>
          <w:rtl/>
        </w:rPr>
        <w:t>מבצעים נקירה</w:t>
      </w:r>
      <w:r w:rsidRPr="009B6C2F">
        <w:rPr>
          <w:rFonts w:ascii="David" w:hAnsi="David" w:cs="David" w:hint="cs"/>
          <w:sz w:val="24"/>
          <w:szCs w:val="24"/>
          <w:rtl/>
        </w:rPr>
        <w:t xml:space="preserve">, מתוך "שאיפה" שהצינה לא תגרוף כדור. כמובן שאם הלחיצה </w:t>
      </w:r>
      <w:r>
        <w:rPr>
          <w:rFonts w:ascii="David" w:hAnsi="David" w:cs="David" w:hint="cs"/>
          <w:sz w:val="24"/>
          <w:szCs w:val="24"/>
          <w:rtl/>
        </w:rPr>
        <w:t xml:space="preserve">על </w:t>
      </w:r>
      <w:r w:rsidRPr="009B6C2F">
        <w:rPr>
          <w:rFonts w:ascii="David" w:hAnsi="David" w:cs="David" w:hint="cs"/>
          <w:sz w:val="24"/>
          <w:szCs w:val="24"/>
          <w:rtl/>
        </w:rPr>
        <w:t>תפס המחסנית מתרחש</w:t>
      </w:r>
      <w:r>
        <w:rPr>
          <w:rFonts w:ascii="David" w:hAnsi="David" w:cs="David" w:hint="cs"/>
          <w:sz w:val="24"/>
          <w:szCs w:val="24"/>
          <w:rtl/>
        </w:rPr>
        <w:t>ת</w:t>
      </w:r>
      <w:r w:rsidRPr="009B6C2F">
        <w:rPr>
          <w:rFonts w:ascii="David" w:hAnsi="David" w:cs="David" w:hint="cs"/>
          <w:sz w:val="24"/>
          <w:szCs w:val="24"/>
          <w:rtl/>
        </w:rPr>
        <w:t xml:space="preserve"> מאוחר מידי, נגרף כדור ומתבצע ירי (שם, עמ' 691).</w:t>
      </w:r>
    </w:p>
    <w:p w:rsidR="00272CAC" w:rsidRPr="002F5AE6" w:rsidRDefault="00272CAC" w:rsidP="00272CAC">
      <w:pPr>
        <w:pStyle w:val="ac"/>
        <w:spacing w:after="0" w:line="360" w:lineRule="auto"/>
        <w:ind w:left="360"/>
        <w:jc w:val="both"/>
        <w:rPr>
          <w:rFonts w:ascii="David" w:hAnsi="David" w:cs="David"/>
          <w:sz w:val="24"/>
          <w:szCs w:val="24"/>
        </w:rPr>
      </w:pPr>
    </w:p>
    <w:p w:rsidR="00272CAC" w:rsidRPr="00F85C1D" w:rsidRDefault="00272CAC" w:rsidP="00272CAC">
      <w:pPr>
        <w:pStyle w:val="ac"/>
        <w:numPr>
          <w:ilvl w:val="0"/>
          <w:numId w:val="14"/>
        </w:numPr>
        <w:spacing w:after="0" w:line="360" w:lineRule="auto"/>
        <w:jc w:val="both"/>
        <w:rPr>
          <w:rFonts w:ascii="David" w:hAnsi="David" w:cs="David"/>
          <w:sz w:val="24"/>
          <w:szCs w:val="24"/>
          <w:rtl/>
        </w:rPr>
      </w:pPr>
      <w:r w:rsidRPr="00F85C1D">
        <w:rPr>
          <w:rFonts w:ascii="David" w:hAnsi="David" w:cs="David" w:hint="cs"/>
          <w:sz w:val="24"/>
          <w:szCs w:val="24"/>
          <w:rtl/>
        </w:rPr>
        <w:t>גרסת</w:t>
      </w:r>
      <w:r>
        <w:rPr>
          <w:rFonts w:ascii="David" w:hAnsi="David" w:cs="David" w:hint="cs"/>
          <w:sz w:val="24"/>
          <w:szCs w:val="24"/>
          <w:rtl/>
        </w:rPr>
        <w:t xml:space="preserve"> הנאשם, </w:t>
      </w:r>
      <w:r w:rsidRPr="00F85C1D">
        <w:rPr>
          <w:rFonts w:ascii="David" w:hAnsi="David" w:cs="David" w:hint="cs"/>
          <w:sz w:val="24"/>
          <w:szCs w:val="24"/>
          <w:rtl/>
        </w:rPr>
        <w:t>אותו שלב</w:t>
      </w:r>
      <w:r>
        <w:rPr>
          <w:rFonts w:ascii="David" w:hAnsi="David" w:cs="David" w:hint="cs"/>
          <w:sz w:val="24"/>
          <w:szCs w:val="24"/>
          <w:rtl/>
        </w:rPr>
        <w:t>,</w:t>
      </w:r>
      <w:r w:rsidRPr="00F85C1D">
        <w:rPr>
          <w:rFonts w:ascii="David" w:hAnsi="David" w:cs="David" w:hint="cs"/>
          <w:sz w:val="24"/>
          <w:szCs w:val="24"/>
          <w:rtl/>
        </w:rPr>
        <w:t xml:space="preserve"> היתה אם כן זו</w:t>
      </w:r>
      <w:r>
        <w:rPr>
          <w:rFonts w:ascii="David" w:hAnsi="David" w:cs="David" w:hint="cs"/>
          <w:sz w:val="24"/>
          <w:szCs w:val="24"/>
          <w:rtl/>
        </w:rPr>
        <w:t xml:space="preserve"> (בשפה חופשית)</w:t>
      </w:r>
      <w:r w:rsidRPr="00F85C1D">
        <w:rPr>
          <w:rFonts w:ascii="David" w:hAnsi="David" w:cs="David" w:hint="cs"/>
          <w:sz w:val="24"/>
          <w:szCs w:val="24"/>
          <w:rtl/>
        </w:rPr>
        <w:t xml:space="preserve"> </w:t>
      </w:r>
      <w:r w:rsidRPr="00F85C1D">
        <w:rPr>
          <w:rFonts w:ascii="David" w:hAnsi="David" w:cs="David"/>
          <w:sz w:val="24"/>
          <w:szCs w:val="24"/>
          <w:rtl/>
        </w:rPr>
        <w:t>–</w:t>
      </w:r>
      <w:r w:rsidRPr="00F85C1D">
        <w:rPr>
          <w:rFonts w:ascii="David" w:hAnsi="David" w:cs="David" w:hint="cs"/>
          <w:sz w:val="24"/>
          <w:szCs w:val="24"/>
          <w:rtl/>
        </w:rPr>
        <w:t xml:space="preserve"> ביצעתי פריקה</w:t>
      </w:r>
      <w:r>
        <w:rPr>
          <w:rFonts w:ascii="David" w:hAnsi="David" w:cs="David" w:hint="cs"/>
          <w:sz w:val="24"/>
          <w:szCs w:val="24"/>
          <w:rtl/>
        </w:rPr>
        <w:t xml:space="preserve"> וזו היתה "מטרת העל"</w:t>
      </w:r>
      <w:r w:rsidRPr="00F85C1D">
        <w:rPr>
          <w:rFonts w:ascii="David" w:hAnsi="David" w:cs="David" w:hint="cs"/>
          <w:sz w:val="24"/>
          <w:szCs w:val="24"/>
          <w:rtl/>
        </w:rPr>
        <w:t xml:space="preserve">; במסגרת הפריקה "שיחקתי" </w:t>
      </w:r>
      <w:r>
        <w:rPr>
          <w:rFonts w:ascii="David" w:hAnsi="David" w:cs="David" w:hint="cs"/>
          <w:sz w:val="24"/>
          <w:szCs w:val="24"/>
          <w:rtl/>
        </w:rPr>
        <w:t>ע</w:t>
      </w:r>
      <w:r w:rsidRPr="00F85C1D">
        <w:rPr>
          <w:rFonts w:ascii="David" w:hAnsi="David" w:cs="David" w:hint="cs"/>
          <w:sz w:val="24"/>
          <w:szCs w:val="24"/>
          <w:rtl/>
        </w:rPr>
        <w:t>ם ההדק (אותן "לחיצות קטנות"); והגם שלא התכוונתי לבצע נקירה הדבר קרה.</w:t>
      </w:r>
    </w:p>
    <w:p w:rsidR="00272CAC" w:rsidRDefault="00272CAC" w:rsidP="00272CAC">
      <w:pPr>
        <w:spacing w:line="360" w:lineRule="auto"/>
        <w:ind w:left="360"/>
        <w:jc w:val="both"/>
        <w:rPr>
          <w:rFonts w:ascii="David" w:hAnsi="David"/>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9B6C2F">
        <w:rPr>
          <w:rFonts w:ascii="David" w:hAnsi="David" w:cs="David" w:hint="cs"/>
          <w:sz w:val="24"/>
          <w:szCs w:val="24"/>
          <w:rtl/>
        </w:rPr>
        <w:t>חלפו 3 שבועות ובדיו</w:t>
      </w:r>
      <w:r>
        <w:rPr>
          <w:rFonts w:ascii="David" w:hAnsi="David" w:cs="David" w:hint="cs"/>
          <w:sz w:val="24"/>
          <w:szCs w:val="24"/>
          <w:rtl/>
        </w:rPr>
        <w:t xml:space="preserve">נים </w:t>
      </w:r>
      <w:r w:rsidRPr="009B6C2F">
        <w:rPr>
          <w:rFonts w:ascii="David" w:hAnsi="David" w:cs="David" w:hint="cs"/>
          <w:sz w:val="24"/>
          <w:szCs w:val="24"/>
          <w:rtl/>
        </w:rPr>
        <w:t>מ</w:t>
      </w:r>
      <w:r>
        <w:rPr>
          <w:rFonts w:ascii="David" w:hAnsi="David" w:cs="David" w:hint="cs"/>
          <w:sz w:val="24"/>
          <w:szCs w:val="24"/>
          <w:rtl/>
        </w:rPr>
        <w:t xml:space="preserve">הימים </w:t>
      </w:r>
      <w:r w:rsidRPr="009B6C2F">
        <w:rPr>
          <w:rFonts w:ascii="David" w:hAnsi="David" w:cs="David" w:hint="cs"/>
          <w:sz w:val="24"/>
          <w:szCs w:val="24"/>
          <w:rtl/>
        </w:rPr>
        <w:t>26.1.23</w:t>
      </w:r>
      <w:r>
        <w:rPr>
          <w:rFonts w:ascii="David" w:hAnsi="David" w:cs="David" w:hint="cs"/>
          <w:sz w:val="24"/>
          <w:szCs w:val="24"/>
          <w:rtl/>
        </w:rPr>
        <w:t xml:space="preserve">, 2.3.23 ו 20.3.23 </w:t>
      </w:r>
      <w:r w:rsidRPr="009B6C2F">
        <w:rPr>
          <w:rFonts w:ascii="David" w:hAnsi="David" w:cs="David" w:hint="cs"/>
          <w:sz w:val="24"/>
          <w:szCs w:val="24"/>
          <w:rtl/>
        </w:rPr>
        <w:t xml:space="preserve">שוב שינה הנאשם את גרסתו. </w:t>
      </w:r>
    </w:p>
    <w:p w:rsidR="00272CAC" w:rsidRDefault="00272CAC" w:rsidP="00272CAC">
      <w:pPr>
        <w:pStyle w:val="ac"/>
        <w:spacing w:after="0" w:line="360" w:lineRule="auto"/>
        <w:ind w:left="360"/>
        <w:jc w:val="both"/>
        <w:rPr>
          <w:rFonts w:ascii="David" w:hAnsi="David" w:cs="David"/>
          <w:sz w:val="24"/>
          <w:szCs w:val="24"/>
          <w:rtl/>
        </w:rPr>
      </w:pPr>
    </w:p>
    <w:p w:rsidR="00272CAC" w:rsidRPr="003802AE" w:rsidRDefault="00272CAC" w:rsidP="00272CAC">
      <w:pPr>
        <w:pStyle w:val="ac"/>
        <w:spacing w:after="0" w:line="360" w:lineRule="auto"/>
        <w:ind w:left="360"/>
        <w:jc w:val="both"/>
        <w:rPr>
          <w:rFonts w:ascii="David" w:hAnsi="David" w:cs="David"/>
          <w:b/>
          <w:bCs/>
          <w:sz w:val="24"/>
          <w:szCs w:val="24"/>
        </w:rPr>
      </w:pPr>
      <w:r w:rsidRPr="003802AE">
        <w:rPr>
          <w:rFonts w:ascii="David" w:hAnsi="David" w:cs="David" w:hint="cs"/>
          <w:b/>
          <w:bCs/>
          <w:sz w:val="24"/>
          <w:szCs w:val="24"/>
          <w:rtl/>
        </w:rPr>
        <w:t xml:space="preserve">לטענתו, כלל לא היתה לו כוונה לבצע פריקה </w:t>
      </w:r>
      <w:r w:rsidRPr="00F85C1D">
        <w:rPr>
          <w:rFonts w:ascii="David" w:hAnsi="David" w:cs="David" w:hint="cs"/>
          <w:b/>
          <w:bCs/>
          <w:sz w:val="24"/>
          <w:szCs w:val="24"/>
          <w:u w:val="single"/>
          <w:rtl/>
        </w:rPr>
        <w:t>וכל כוונתו</w:t>
      </w:r>
      <w:r w:rsidRPr="003802AE">
        <w:rPr>
          <w:rFonts w:ascii="David" w:hAnsi="David" w:cs="David" w:hint="cs"/>
          <w:b/>
          <w:bCs/>
          <w:sz w:val="24"/>
          <w:szCs w:val="24"/>
          <w:rtl/>
        </w:rPr>
        <w:t xml:space="preserve"> היתה לשחק באקדח. הנאשם הבהיר כי ה"משחק" הוא אותן לחיצות הקטנות על ההדק, כשלפני כן הוא ביצע מספר פעולות שנועדו, כך לדבריו, לוודא שאין כדור בבית הבליעה</w:t>
      </w:r>
      <w:r>
        <w:rPr>
          <w:rFonts w:ascii="David" w:hAnsi="David" w:cs="David" w:hint="cs"/>
          <w:b/>
          <w:bCs/>
          <w:sz w:val="24"/>
          <w:szCs w:val="24"/>
          <w:rtl/>
        </w:rPr>
        <w:t xml:space="preserve"> וזאת כחלק מקדים לאותו משחק ולצרכי אותו "משחק"</w:t>
      </w:r>
      <w:r w:rsidRPr="003802AE">
        <w:rPr>
          <w:rFonts w:ascii="David" w:hAnsi="David" w:cs="David" w:hint="cs"/>
          <w:b/>
          <w:bCs/>
          <w:sz w:val="24"/>
          <w:szCs w:val="24"/>
          <w:rtl/>
        </w:rPr>
        <w:t>.</w:t>
      </w:r>
    </w:p>
    <w:p w:rsidR="00272CAC" w:rsidRPr="00F85C1D"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בהקשר זה, תיאר הנאשם כי </w:t>
      </w:r>
      <w:r w:rsidRPr="009B6C2F">
        <w:rPr>
          <w:rFonts w:ascii="David" w:hAnsi="David" w:cs="David" w:hint="cs"/>
          <w:sz w:val="24"/>
          <w:szCs w:val="24"/>
          <w:rtl/>
        </w:rPr>
        <w:t>לצורך ה</w:t>
      </w:r>
      <w:r>
        <w:rPr>
          <w:rFonts w:ascii="David" w:hAnsi="David" w:cs="David" w:hint="cs"/>
          <w:sz w:val="24"/>
          <w:szCs w:val="24"/>
          <w:rtl/>
        </w:rPr>
        <w:t>"</w:t>
      </w:r>
      <w:r w:rsidRPr="009B6C2F">
        <w:rPr>
          <w:rFonts w:ascii="David" w:hAnsi="David" w:cs="David" w:hint="cs"/>
          <w:sz w:val="24"/>
          <w:szCs w:val="24"/>
          <w:rtl/>
        </w:rPr>
        <w:t>משחק</w:t>
      </w:r>
      <w:r>
        <w:rPr>
          <w:rFonts w:ascii="David" w:hAnsi="David" w:cs="David" w:hint="cs"/>
          <w:sz w:val="24"/>
          <w:szCs w:val="24"/>
          <w:rtl/>
        </w:rPr>
        <w:t>",</w:t>
      </w:r>
      <w:r w:rsidRPr="009B6C2F">
        <w:rPr>
          <w:rFonts w:ascii="David" w:hAnsi="David" w:cs="David" w:hint="cs"/>
          <w:sz w:val="24"/>
          <w:szCs w:val="24"/>
          <w:rtl/>
        </w:rPr>
        <w:t xml:space="preserve"> </w:t>
      </w:r>
      <w:r w:rsidRPr="00696720">
        <w:rPr>
          <w:rFonts w:ascii="David" w:hAnsi="David" w:cs="David" w:hint="cs"/>
          <w:sz w:val="24"/>
          <w:szCs w:val="24"/>
          <w:u w:val="single"/>
          <w:rtl/>
        </w:rPr>
        <w:t>ולצורך זה בלבד</w:t>
      </w:r>
      <w:r>
        <w:rPr>
          <w:rFonts w:ascii="David" w:hAnsi="David" w:cs="David" w:hint="cs"/>
          <w:sz w:val="24"/>
          <w:szCs w:val="24"/>
          <w:rtl/>
        </w:rPr>
        <w:t>,</w:t>
      </w:r>
      <w:r w:rsidRPr="009B6C2F">
        <w:rPr>
          <w:rFonts w:ascii="David" w:hAnsi="David" w:cs="David" w:hint="cs"/>
          <w:sz w:val="24"/>
          <w:szCs w:val="24"/>
          <w:rtl/>
        </w:rPr>
        <w:t xml:space="preserve"> הוא לחץ על תפס המחסנית</w:t>
      </w:r>
      <w:r>
        <w:rPr>
          <w:rFonts w:ascii="David" w:hAnsi="David" w:cs="David" w:hint="cs"/>
          <w:sz w:val="24"/>
          <w:szCs w:val="24"/>
          <w:rtl/>
        </w:rPr>
        <w:t xml:space="preserve"> ולאחר מכן דרך את הנשק</w:t>
      </w:r>
      <w:r w:rsidRPr="009B6C2F">
        <w:rPr>
          <w:rFonts w:ascii="David" w:hAnsi="David" w:cs="David" w:hint="cs"/>
          <w:sz w:val="24"/>
          <w:szCs w:val="24"/>
          <w:rtl/>
        </w:rPr>
        <w:t xml:space="preserve"> (</w:t>
      </w:r>
      <w:r>
        <w:rPr>
          <w:rFonts w:ascii="David" w:hAnsi="David" w:cs="David" w:hint="cs"/>
          <w:sz w:val="24"/>
          <w:szCs w:val="24"/>
          <w:rtl/>
        </w:rPr>
        <w:t xml:space="preserve">דיון מיום 26.1.23 </w:t>
      </w:r>
      <w:r w:rsidRPr="009B6C2F">
        <w:rPr>
          <w:rFonts w:ascii="David" w:hAnsi="David" w:cs="David" w:hint="cs"/>
          <w:sz w:val="24"/>
          <w:szCs w:val="24"/>
          <w:rtl/>
        </w:rPr>
        <w:t>עמ' 736-741)</w:t>
      </w:r>
      <w:r>
        <w:rPr>
          <w:rFonts w:ascii="David" w:hAnsi="David" w:cs="David" w:hint="cs"/>
          <w:sz w:val="24"/>
          <w:szCs w:val="24"/>
          <w:rtl/>
        </w:rPr>
        <w:t>. הנאשם הסביר ש"</w:t>
      </w:r>
      <w:r w:rsidRPr="007A6BD6">
        <w:rPr>
          <w:rFonts w:ascii="David" w:hAnsi="David" w:cs="David" w:hint="cs"/>
          <w:b/>
          <w:bCs/>
          <w:sz w:val="24"/>
          <w:szCs w:val="24"/>
          <w:rtl/>
        </w:rPr>
        <w:t>ברגע שאתה לוחץ על התפס במחסנית ומבצע דריכה, לא אמור להיגרף כדור</w:t>
      </w:r>
      <w:r>
        <w:rPr>
          <w:rFonts w:ascii="David" w:hAnsi="David" w:cs="David" w:hint="cs"/>
          <w:sz w:val="24"/>
          <w:szCs w:val="24"/>
          <w:rtl/>
        </w:rPr>
        <w:t xml:space="preserve">" (שם, עמ' 727 שורות 7-8);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במקום אחר הבהיר הנאשם שכל הפעולות שבוצעו על ידו עובר לנקירה, היו פעולות מקדימות שנועדו "</w:t>
      </w:r>
      <w:r w:rsidRPr="00334712">
        <w:rPr>
          <w:rFonts w:ascii="David" w:hAnsi="David" w:cs="David" w:hint="cs"/>
          <w:b/>
          <w:bCs/>
          <w:sz w:val="24"/>
          <w:szCs w:val="24"/>
          <w:rtl/>
        </w:rPr>
        <w:t xml:space="preserve">כדי לוודות </w:t>
      </w:r>
      <w:r w:rsidRPr="00334712">
        <w:rPr>
          <w:rFonts w:ascii="David" w:hAnsi="David" w:cs="David" w:hint="cs"/>
          <w:sz w:val="24"/>
          <w:szCs w:val="24"/>
          <w:rtl/>
        </w:rPr>
        <w:t xml:space="preserve">(כך במקור; צ.ל. לוודא </w:t>
      </w:r>
      <w:r w:rsidRPr="00334712">
        <w:rPr>
          <w:rFonts w:ascii="David" w:hAnsi="David" w:cs="David"/>
          <w:sz w:val="24"/>
          <w:szCs w:val="24"/>
          <w:rtl/>
        </w:rPr>
        <w:t>–</w:t>
      </w:r>
      <w:r w:rsidRPr="00334712">
        <w:rPr>
          <w:rFonts w:ascii="David" w:hAnsi="David" w:cs="David" w:hint="cs"/>
          <w:sz w:val="24"/>
          <w:szCs w:val="24"/>
          <w:rtl/>
        </w:rPr>
        <w:t xml:space="preserve"> י.ל.) </w:t>
      </w:r>
      <w:r w:rsidRPr="00334712">
        <w:rPr>
          <w:rFonts w:ascii="David" w:hAnsi="David" w:cs="David" w:hint="cs"/>
          <w:b/>
          <w:bCs/>
          <w:sz w:val="24"/>
          <w:szCs w:val="24"/>
          <w:rtl/>
        </w:rPr>
        <w:t>שאין לי כדור בבית הבליעה... במטרה שאני יכול ללחוץ על ההדק במאה אחוז שאני יודע שאין לי כדור..</w:t>
      </w:r>
      <w:r>
        <w:rPr>
          <w:rFonts w:ascii="David" w:hAnsi="David" w:cs="David" w:hint="cs"/>
          <w:sz w:val="24"/>
          <w:szCs w:val="24"/>
          <w:rtl/>
        </w:rPr>
        <w:t>" (חקירה נגדית, דיון מיום 26.1.23 עמ' 738-739);</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וכן:</w:t>
      </w:r>
    </w:p>
    <w:p w:rsidR="00272CAC" w:rsidRPr="00334712" w:rsidRDefault="00272CAC" w:rsidP="00272CAC">
      <w:pPr>
        <w:spacing w:line="360" w:lineRule="auto"/>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w:t>
      </w:r>
      <w:r w:rsidRPr="007A6BD6">
        <w:rPr>
          <w:rFonts w:ascii="David" w:hAnsi="David" w:hint="cs"/>
          <w:b/>
          <w:bCs/>
          <w:rtl/>
        </w:rPr>
        <w:t>זו לא פריקה לצורך לפרוק. זה היה לשם, המילה כמו שאמרתי בפני המדובב, משחק.. ועשיתי את המשחק הזה כשהייתי בטוח שאין לי שום כדור בבית הבליעה..</w:t>
      </w:r>
      <w:r>
        <w:rPr>
          <w:rFonts w:ascii="David" w:hAnsi="David" w:hint="cs"/>
          <w:b/>
          <w:bCs/>
          <w:rtl/>
        </w:rPr>
        <w:t>.המשחק הוא הלחיצות הקטנות על ההדק, שזה מה שאמרתי למדובב..</w:t>
      </w:r>
      <w:r w:rsidRPr="007A6BD6">
        <w:rPr>
          <w:rFonts w:ascii="David" w:hAnsi="David" w:hint="cs"/>
          <w:b/>
          <w:bCs/>
          <w:rtl/>
        </w:rPr>
        <w:t>"</w:t>
      </w:r>
      <w:r>
        <w:rPr>
          <w:rFonts w:ascii="David" w:hAnsi="David" w:hint="cs"/>
          <w:rtl/>
        </w:rPr>
        <w:t xml:space="preserve"> (חקירה נגדית, דיון מיום 26.1.23 עמ' 734-735).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lastRenderedPageBreak/>
        <w:t>הנאשם שב והבהיר מהן הפעולות שביצע כחלק מה"משחק" ושנועדו לוודא שאין כדור בבית הבליעה ובטרם הלחיצות על ההדק: "</w:t>
      </w:r>
      <w:r w:rsidRPr="001041F0">
        <w:rPr>
          <w:rFonts w:ascii="David" w:hAnsi="David" w:hint="cs"/>
          <w:b/>
          <w:bCs/>
          <w:rtl/>
        </w:rPr>
        <w:t xml:space="preserve">..לחצתי על תפס המחסנית, הוצאתי חצי מחסנית, </w:t>
      </w:r>
      <w:r w:rsidRPr="003802AE">
        <w:rPr>
          <w:rFonts w:ascii="David" w:hAnsi="David" w:hint="cs"/>
          <w:b/>
          <w:bCs/>
          <w:u w:val="single"/>
          <w:rtl/>
        </w:rPr>
        <w:t>בצעתי דריכה</w:t>
      </w:r>
      <w:r w:rsidRPr="001041F0">
        <w:rPr>
          <w:rFonts w:ascii="David" w:hAnsi="David" w:hint="cs"/>
          <w:b/>
          <w:bCs/>
          <w:rtl/>
        </w:rPr>
        <w:t>, ולאחר מכן עשיתי את המשחק, את הלחיצות הקטנות על ההדק.."</w:t>
      </w:r>
      <w:r>
        <w:rPr>
          <w:rFonts w:ascii="David" w:hAnsi="David" w:hint="cs"/>
          <w:rtl/>
        </w:rPr>
        <w:t xml:space="preserve"> (דיון מיום 2.3.23, עמ' 781 שורות 15-17, ההדגשה לא במקור </w:t>
      </w:r>
      <w:r>
        <w:rPr>
          <w:rFonts w:ascii="David" w:hAnsi="David"/>
          <w:rtl/>
        </w:rPr>
        <w:t>–</w:t>
      </w:r>
      <w:r>
        <w:rPr>
          <w:rFonts w:ascii="David" w:hAnsi="David" w:hint="cs"/>
          <w:rtl/>
        </w:rPr>
        <w:t xml:space="preserve"> י.ל.).</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אמור מעתה, גרסת הנאשם היתה זו (בשפה חופשית)</w:t>
      </w:r>
      <w:r>
        <w:rPr>
          <w:rFonts w:ascii="David" w:hAnsi="David"/>
          <w:rtl/>
        </w:rPr>
        <w:t>–</w:t>
      </w:r>
      <w:r>
        <w:rPr>
          <w:rFonts w:ascii="David" w:hAnsi="David" w:hint="cs"/>
          <w:rtl/>
        </w:rPr>
        <w:t xml:space="preserve"> לא היתה לי כל כוונה או "מטרת על" לפרוק את הנשק. כוונתי היתה לשחק בנשק, וכשאני אומר משחק אני מתכוון ללחיצות הקטנות על ההדק שמסתיימות בנקירה. לצורך זה ולצורך זה בלבד, וכדי לוודא שהמשחק בטוח, לחצתי על תפס המחסנית, הוצאתי קצת את המחסנית, ודרכתי את האקדח, וזאת כדי לוודא שהוא פרוק.</w:t>
      </w:r>
    </w:p>
    <w:p w:rsidR="00272CAC" w:rsidRDefault="00272CAC" w:rsidP="00272CAC">
      <w:pPr>
        <w:spacing w:line="360" w:lineRule="auto"/>
        <w:ind w:left="360"/>
        <w:jc w:val="both"/>
        <w:rPr>
          <w:rFonts w:ascii="David" w:hAnsi="David"/>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כאשר ביקשו באי כוח המאשימה לקבל מהנאשם הבהרות למה כוונתו בהוצאת "חצי מחסנית", היו גרסאותיו עמומות. </w:t>
      </w:r>
      <w:r w:rsidRPr="002F5AE6">
        <w:rPr>
          <w:rFonts w:ascii="David" w:hAnsi="David" w:cs="David" w:hint="cs"/>
          <w:sz w:val="24"/>
          <w:szCs w:val="24"/>
          <w:u w:val="single"/>
          <w:rtl/>
        </w:rPr>
        <w:t>הנאשם טען כי אינו זוכר בפועל באם המחסנית אכן יצאה ממקומה או לא</w:t>
      </w:r>
      <w:r>
        <w:rPr>
          <w:rFonts w:ascii="David" w:hAnsi="David" w:cs="David" w:hint="cs"/>
          <w:sz w:val="24"/>
          <w:szCs w:val="24"/>
          <w:rtl/>
        </w:rPr>
        <w:t xml:space="preserve">, והוסיף כי הוא נסמך על טענה זו רק משום שזו היתה גרסתו לפני המדובב.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בהקשר האחרון שב הנאשם וטען, כי בזמן שהייתו בתא עם המדובב הוא הניח שהאחרון הוא חברו ולכן מסר לו (למדובב) דברי אמת. הנאשם הוסיף וטען כי במונח "חצי מחסנית" אין כוונתו לכך מבחינה מילולית, אלא די שרק חלקה הקטן יצא ממקומה.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הנאשם הוסיף כי המחסנית לא נפלה על הארץ לאחר שלחץ על תפס המחסנית (דיון מיום 2.3.23 עמ' 795 שורה 8), ואף הוסיף וציין כי "</w:t>
      </w:r>
      <w:r w:rsidRPr="003802AE">
        <w:rPr>
          <w:rFonts w:ascii="David" w:hAnsi="David" w:cs="David" w:hint="cs"/>
          <w:b/>
          <w:bCs/>
          <w:sz w:val="24"/>
          <w:szCs w:val="24"/>
          <w:rtl/>
        </w:rPr>
        <w:t xml:space="preserve">אין סיכוי שזה לא ייצא </w:t>
      </w:r>
      <w:r w:rsidRPr="003802AE">
        <w:rPr>
          <w:rFonts w:ascii="David" w:hAnsi="David" w:cs="David" w:hint="cs"/>
          <w:sz w:val="24"/>
          <w:szCs w:val="24"/>
          <w:rtl/>
        </w:rPr>
        <w:t xml:space="preserve">(הכוונה ליציאת המחסנית לאחר הלחיצה על תפס המחסנית </w:t>
      </w:r>
      <w:r w:rsidRPr="003802AE">
        <w:rPr>
          <w:rFonts w:ascii="David" w:hAnsi="David" w:cs="David"/>
          <w:sz w:val="24"/>
          <w:szCs w:val="24"/>
          <w:rtl/>
        </w:rPr>
        <w:t>–</w:t>
      </w:r>
      <w:r w:rsidRPr="003802AE">
        <w:rPr>
          <w:rFonts w:ascii="David" w:hAnsi="David" w:cs="David" w:hint="cs"/>
          <w:sz w:val="24"/>
          <w:szCs w:val="24"/>
          <w:rtl/>
        </w:rPr>
        <w:t xml:space="preserve"> י.ל.)</w:t>
      </w:r>
      <w:r w:rsidRPr="003802AE">
        <w:rPr>
          <w:rFonts w:ascii="David" w:hAnsi="David" w:cs="David" w:hint="cs"/>
          <w:b/>
          <w:bCs/>
          <w:sz w:val="24"/>
          <w:szCs w:val="24"/>
          <w:rtl/>
        </w:rPr>
        <w:t>, כי ברגע שאתה לוחץ עליה אין סיכוי שהמחסנית לא תצא, שלא תשתחרר.."</w:t>
      </w:r>
      <w:r>
        <w:rPr>
          <w:rFonts w:ascii="David" w:hAnsi="David" w:cs="David" w:hint="cs"/>
          <w:sz w:val="24"/>
          <w:szCs w:val="24"/>
          <w:rtl/>
        </w:rPr>
        <w:t xml:space="preserve"> (שם, עמ' 796 שורות 20-22); עם זאת וכאמור לעיל, עלה בבירור כי גרסת הנאשם היא שאינו זוכר (לטענתו) נקודה זו במדויק, והוא חזר על כך שגרסתו בנדון נסמכת על </w:t>
      </w:r>
      <w:r w:rsidRPr="003802AE">
        <w:rPr>
          <w:rFonts w:ascii="David" w:hAnsi="David" w:cs="David" w:hint="cs"/>
          <w:sz w:val="24"/>
          <w:szCs w:val="24"/>
          <w:u w:val="single"/>
          <w:rtl/>
        </w:rPr>
        <w:t>הנחתו</w:t>
      </w:r>
      <w:r>
        <w:rPr>
          <w:rFonts w:ascii="David" w:hAnsi="David" w:cs="David" w:hint="cs"/>
          <w:sz w:val="24"/>
          <w:szCs w:val="24"/>
          <w:rtl/>
        </w:rPr>
        <w:t xml:space="preserve"> כי אם לחץ על תפס המחסנית אזי המחסנית יצאה ממקומה ("</w:t>
      </w:r>
      <w:r w:rsidRPr="003802AE">
        <w:rPr>
          <w:rFonts w:ascii="David" w:hAnsi="David" w:cs="David" w:hint="cs"/>
          <w:b/>
          <w:bCs/>
          <w:sz w:val="24"/>
          <w:szCs w:val="24"/>
          <w:rtl/>
        </w:rPr>
        <w:t xml:space="preserve">..כן, המחסנית השתחררה... כי אני לחצתי על התפס, אז אין סיכוי שזה לא </w:t>
      </w:r>
      <w:r w:rsidRPr="002F5AE6">
        <w:rPr>
          <w:rFonts w:ascii="David" w:hAnsi="David" w:cs="David" w:hint="cs"/>
          <w:sz w:val="24"/>
          <w:szCs w:val="24"/>
          <w:rtl/>
        </w:rPr>
        <w:t>(</w:t>
      </w:r>
      <w:r w:rsidRPr="003802AE">
        <w:rPr>
          <w:rFonts w:ascii="David" w:hAnsi="David" w:cs="David" w:hint="cs"/>
          <w:sz w:val="24"/>
          <w:szCs w:val="24"/>
          <w:rtl/>
        </w:rPr>
        <w:t xml:space="preserve">קרה </w:t>
      </w:r>
      <w:r w:rsidRPr="003802AE">
        <w:rPr>
          <w:rFonts w:ascii="David" w:hAnsi="David" w:cs="David"/>
          <w:sz w:val="24"/>
          <w:szCs w:val="24"/>
          <w:rtl/>
        </w:rPr>
        <w:t>–</w:t>
      </w:r>
      <w:r w:rsidRPr="003802AE">
        <w:rPr>
          <w:rFonts w:ascii="David" w:hAnsi="David" w:cs="David" w:hint="cs"/>
          <w:sz w:val="24"/>
          <w:szCs w:val="24"/>
          <w:rtl/>
        </w:rPr>
        <w:t xml:space="preserve"> י.ל.</w:t>
      </w:r>
      <w:r w:rsidRPr="002F5AE6">
        <w:rPr>
          <w:rFonts w:ascii="David" w:hAnsi="David" w:cs="David" w:hint="cs"/>
          <w:sz w:val="24"/>
          <w:szCs w:val="24"/>
          <w:rtl/>
        </w:rPr>
        <w:t>)</w:t>
      </w:r>
      <w:r w:rsidRPr="003802AE">
        <w:rPr>
          <w:rFonts w:ascii="David" w:hAnsi="David" w:cs="David" w:hint="cs"/>
          <w:b/>
          <w:bCs/>
          <w:sz w:val="24"/>
          <w:szCs w:val="24"/>
          <w:rtl/>
        </w:rPr>
        <w:t>"</w:t>
      </w:r>
      <w:r>
        <w:rPr>
          <w:rFonts w:ascii="David" w:hAnsi="David" w:cs="David" w:hint="cs"/>
          <w:sz w:val="24"/>
          <w:szCs w:val="24"/>
          <w:rtl/>
        </w:rPr>
        <w:t xml:space="preserve"> שם, עמ' 797, שורות 27-29); וכן על הנחתו שאם כך מסר למדובב אזי הדברים נכונים.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tl/>
        </w:rPr>
      </w:pPr>
      <w:r w:rsidRPr="002F5AE6">
        <w:rPr>
          <w:rFonts w:ascii="David" w:hAnsi="David" w:cs="David" w:hint="cs"/>
          <w:sz w:val="24"/>
          <w:szCs w:val="24"/>
          <w:u w:val="single"/>
          <w:rtl/>
        </w:rPr>
        <w:t>הנאשם אף הוסיף שלאחר הירי לא החזיר את המחסנית למקומה</w:t>
      </w:r>
      <w:r>
        <w:rPr>
          <w:rFonts w:ascii="David" w:hAnsi="David" w:cs="David" w:hint="cs"/>
          <w:sz w:val="24"/>
          <w:szCs w:val="24"/>
          <w:rtl/>
        </w:rPr>
        <w:t xml:space="preserve"> (שם, עמ' 797 שורה 33).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בדיון שהתקיים ביום 20.3.23 במטווח גניגר ויתואר להלן, ציין הנאשם כי אינו זוכר את המצב המדויק של הנשק עת הניחו על המנוח, אך הוסיף כי להבנתו </w:t>
      </w:r>
      <w:r>
        <w:rPr>
          <w:rFonts w:ascii="David" w:hAnsi="David" w:cs="David"/>
          <w:sz w:val="24"/>
          <w:szCs w:val="24"/>
          <w:rtl/>
        </w:rPr>
        <w:t>–</w:t>
      </w:r>
      <w:r>
        <w:rPr>
          <w:rFonts w:ascii="David" w:hAnsi="David" w:cs="David" w:hint="cs"/>
          <w:sz w:val="24"/>
          <w:szCs w:val="24"/>
          <w:rtl/>
        </w:rPr>
        <w:t xml:space="preserve"> ומשום שאינו זוכר שהחזיר את המחסנית למקומה, הוא מניח שהמחסנית היתה אמנם בתוך הנשק אך לא "תפוסה" בתפס המחסנית (חלק שני של התיעוד, נומרטור 22:50 עד 23:00).</w:t>
      </w:r>
    </w:p>
    <w:p w:rsidR="00272CAC" w:rsidRPr="002F5AE6"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sidRPr="003802AE">
        <w:rPr>
          <w:rFonts w:ascii="David" w:hAnsi="David" w:cs="David" w:hint="cs"/>
          <w:sz w:val="24"/>
          <w:szCs w:val="24"/>
          <w:rtl/>
        </w:rPr>
        <w:t xml:space="preserve">בדיון מיום 2.3.23 נשאל הנאשם מה ההסבר שלו לכך שהקליע אותו ירה פגע בראשו של המנוח, </w:t>
      </w:r>
      <w:r w:rsidRPr="00F85C1D">
        <w:rPr>
          <w:rFonts w:ascii="David" w:hAnsi="David" w:cs="David" w:hint="cs"/>
          <w:sz w:val="24"/>
          <w:szCs w:val="24"/>
          <w:u w:val="single"/>
          <w:rtl/>
        </w:rPr>
        <w:t>אלא אם הוא כיוון את האקדח לעבר המנוח</w:t>
      </w:r>
      <w:r>
        <w:rPr>
          <w:rFonts w:ascii="David" w:hAnsi="David" w:cs="David" w:hint="cs"/>
          <w:sz w:val="24"/>
          <w:szCs w:val="24"/>
          <w:rtl/>
        </w:rPr>
        <w:t xml:space="preserve">. </w:t>
      </w:r>
      <w:r w:rsidRPr="003802AE">
        <w:rPr>
          <w:rFonts w:ascii="David" w:hAnsi="David" w:cs="David" w:hint="cs"/>
          <w:sz w:val="24"/>
          <w:szCs w:val="24"/>
          <w:rtl/>
        </w:rPr>
        <w:t>הנאשם שב וטען שאין לו הסבר לכך, וחרף המסקנה הברורה העולה מה</w:t>
      </w:r>
      <w:r>
        <w:rPr>
          <w:rFonts w:ascii="David" w:hAnsi="David" w:cs="David" w:hint="cs"/>
          <w:sz w:val="24"/>
          <w:szCs w:val="24"/>
          <w:rtl/>
        </w:rPr>
        <w:t>נתון העובדתי לעיל</w:t>
      </w:r>
      <w:r w:rsidRPr="003802AE">
        <w:rPr>
          <w:rFonts w:ascii="David" w:hAnsi="David" w:cs="David" w:hint="cs"/>
          <w:sz w:val="24"/>
          <w:szCs w:val="24"/>
          <w:rtl/>
        </w:rPr>
        <w:t>, עמד הנאשם על טענתו כי "..</w:t>
      </w:r>
      <w:r w:rsidRPr="003802AE">
        <w:rPr>
          <w:rFonts w:ascii="David" w:hAnsi="David" w:cs="David" w:hint="cs"/>
          <w:b/>
          <w:bCs/>
          <w:sz w:val="24"/>
          <w:szCs w:val="24"/>
          <w:rtl/>
        </w:rPr>
        <w:t>לא כיוונתי ואני לא יודע בכלל איך זה פגע בו</w:t>
      </w:r>
      <w:r w:rsidRPr="003802AE">
        <w:rPr>
          <w:rFonts w:ascii="David" w:hAnsi="David" w:cs="David" w:hint="cs"/>
          <w:sz w:val="24"/>
          <w:szCs w:val="24"/>
          <w:rtl/>
        </w:rPr>
        <w:t>" (ר' לדוגמה דיון מיום 2.3.23, עמ' 778 שורה 7). הנאשם הוסיף וטען כי ברגע הירי עיניו התמקדו באקדח ולא במנוח, ובהמשך עדותו חזר והדגיש כי נקודה זו (להיכן קנה האקדח היה מופנה) אינה זכורה לו (שם, עמ' 783-785).</w:t>
      </w:r>
    </w:p>
    <w:p w:rsidR="00272CAC" w:rsidRPr="00B379F6"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3802AE">
        <w:rPr>
          <w:rFonts w:ascii="David" w:hAnsi="David" w:cs="David" w:hint="cs"/>
          <w:sz w:val="24"/>
          <w:szCs w:val="24"/>
          <w:rtl/>
        </w:rPr>
        <w:t xml:space="preserve"> בדיון מיום 2.3.23 הנאשם ציין כי מעולם לא דרך את הנשק ללא שהתכוון לכך</w:t>
      </w:r>
      <w:r>
        <w:rPr>
          <w:rFonts w:ascii="David" w:hAnsi="David" w:cs="David" w:hint="cs"/>
          <w:sz w:val="24"/>
          <w:szCs w:val="24"/>
          <w:rtl/>
        </w:rPr>
        <w:t xml:space="preserve"> (הכוונה היתה לדריכה שכזו עובר לאירוע בו מצא המנוח את מותו, </w:t>
      </w:r>
      <w:r w:rsidRPr="003802AE">
        <w:rPr>
          <w:rFonts w:ascii="David" w:hAnsi="David" w:cs="David" w:hint="cs"/>
          <w:sz w:val="24"/>
          <w:szCs w:val="24"/>
          <w:rtl/>
        </w:rPr>
        <w:t xml:space="preserve">עמ' 800 שורה 4); ולגבי </w:t>
      </w:r>
      <w:r>
        <w:rPr>
          <w:rFonts w:ascii="David" w:hAnsi="David" w:cs="David" w:hint="cs"/>
          <w:sz w:val="24"/>
          <w:szCs w:val="24"/>
          <w:rtl/>
        </w:rPr>
        <w:t>"</w:t>
      </w:r>
      <w:r w:rsidRPr="003802AE">
        <w:rPr>
          <w:rFonts w:ascii="David" w:hAnsi="David" w:cs="David" w:hint="cs"/>
          <w:sz w:val="24"/>
          <w:szCs w:val="24"/>
          <w:rtl/>
        </w:rPr>
        <w:t>דריכה חלבית</w:t>
      </w:r>
      <w:r>
        <w:rPr>
          <w:rFonts w:ascii="David" w:hAnsi="David" w:cs="David" w:hint="cs"/>
          <w:sz w:val="24"/>
          <w:szCs w:val="24"/>
          <w:rtl/>
        </w:rPr>
        <w:t>" מסר ש</w:t>
      </w:r>
      <w:r w:rsidRPr="003802AE">
        <w:rPr>
          <w:rFonts w:ascii="David" w:hAnsi="David" w:cs="David" w:hint="cs"/>
          <w:sz w:val="24"/>
          <w:szCs w:val="24"/>
          <w:rtl/>
        </w:rPr>
        <w:t>הדבר התרחש כשהיה בקורס (עמ' 803)</w:t>
      </w:r>
      <w:r>
        <w:rPr>
          <w:rFonts w:ascii="David" w:hAnsi="David" w:cs="David" w:hint="cs"/>
          <w:sz w:val="24"/>
          <w:szCs w:val="24"/>
          <w:rtl/>
        </w:rPr>
        <w:t>. שתי סוגיות אלה עלו בחוות הדעת שמסר מומחה ההגנה וכן בעדותו, אליה נתייחס להלן.</w:t>
      </w:r>
    </w:p>
    <w:p w:rsidR="00272CAC" w:rsidRPr="00F85C1D"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A64F65">
        <w:rPr>
          <w:rFonts w:ascii="David" w:hAnsi="David" w:cs="David" w:hint="cs"/>
          <w:sz w:val="24"/>
          <w:szCs w:val="24"/>
          <w:rtl/>
        </w:rPr>
        <w:t xml:space="preserve">כפי שצוין לעיל, </w:t>
      </w:r>
      <w:r w:rsidRPr="00B379F6">
        <w:rPr>
          <w:rFonts w:ascii="David" w:hAnsi="David" w:cs="David" w:hint="cs"/>
          <w:b/>
          <w:bCs/>
          <w:sz w:val="24"/>
          <w:szCs w:val="24"/>
          <w:rtl/>
        </w:rPr>
        <w:t>ביום 20.3.23 נערך הדיון במטווח קיבוץ גניגר</w:t>
      </w:r>
      <w:r w:rsidRPr="00A64F65">
        <w:rPr>
          <w:rFonts w:ascii="David" w:hAnsi="David" w:cs="David" w:hint="cs"/>
          <w:sz w:val="24"/>
          <w:szCs w:val="24"/>
          <w:rtl/>
        </w:rPr>
        <w:t xml:space="preserve">, וזאת לבקשת המאשימה </w:t>
      </w:r>
      <w:r>
        <w:rPr>
          <w:rFonts w:ascii="David" w:hAnsi="David" w:cs="David" w:hint="cs"/>
          <w:sz w:val="24"/>
          <w:szCs w:val="24"/>
          <w:rtl/>
        </w:rPr>
        <w:t xml:space="preserve">וכדי </w:t>
      </w:r>
      <w:r w:rsidRPr="00A64F65">
        <w:rPr>
          <w:rFonts w:ascii="David" w:hAnsi="David" w:cs="David" w:hint="cs"/>
          <w:sz w:val="24"/>
          <w:szCs w:val="24"/>
          <w:rtl/>
        </w:rPr>
        <w:t>לאפשר לנאשם לאחוז באקדח ולשאול אותו שאלות תוך כדי שידגים פעולות שונות</w:t>
      </w:r>
      <w:r>
        <w:rPr>
          <w:rFonts w:ascii="David" w:hAnsi="David" w:cs="David" w:hint="cs"/>
          <w:sz w:val="24"/>
          <w:szCs w:val="24"/>
          <w:rtl/>
        </w:rPr>
        <w:t xml:space="preserve"> על </w:t>
      </w:r>
      <w:r w:rsidRPr="00A64F65">
        <w:rPr>
          <w:rFonts w:ascii="David" w:hAnsi="David" w:cs="David" w:hint="cs"/>
          <w:sz w:val="24"/>
          <w:szCs w:val="24"/>
          <w:rtl/>
        </w:rPr>
        <w:t xml:space="preserve">אקדח </w:t>
      </w:r>
      <w:r>
        <w:rPr>
          <w:rFonts w:ascii="David" w:hAnsi="David" w:cs="David" w:hint="cs"/>
          <w:sz w:val="24"/>
          <w:szCs w:val="24"/>
          <w:rtl/>
        </w:rPr>
        <w:t xml:space="preserve">מסוג גלוק ועם </w:t>
      </w:r>
      <w:r w:rsidRPr="00A64F65">
        <w:rPr>
          <w:rFonts w:ascii="David" w:hAnsi="David" w:cs="David" w:hint="cs"/>
          <w:sz w:val="24"/>
          <w:szCs w:val="24"/>
          <w:rtl/>
        </w:rPr>
        <w:t xml:space="preserve">מחסנית ובה כדורי תרגול. </w:t>
      </w:r>
    </w:p>
    <w:p w:rsidR="00272CAC" w:rsidRPr="0003714F"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ההדגמות בוצעו עם אקדח </w:t>
      </w:r>
      <w:r w:rsidRPr="00D75804">
        <w:rPr>
          <w:rFonts w:ascii="David" w:hAnsi="David" w:cs="David" w:hint="cs"/>
          <w:sz w:val="24"/>
          <w:szCs w:val="24"/>
          <w:u w:val="single"/>
          <w:rtl/>
        </w:rPr>
        <w:t>תרגול</w:t>
      </w:r>
      <w:r>
        <w:rPr>
          <w:rFonts w:ascii="David" w:hAnsi="David" w:cs="David" w:hint="cs"/>
          <w:sz w:val="24"/>
          <w:szCs w:val="24"/>
          <w:rtl/>
        </w:rPr>
        <w:t xml:space="preserve"> מסוג גלוק, ולא עם ה-אקדח בו בוצע שימוש בעת האירוע. מדובר באקדח גלוק לכל דבר ועניין, למעט כך שחלק ממכלוליו שונו כך שלא יהיה ניתן לירות באמצעותו, וגם הכדורים במחסנית עוקרו. </w:t>
      </w:r>
    </w:p>
    <w:p w:rsidR="00272CAC" w:rsidRDefault="00272CAC" w:rsidP="00272CAC">
      <w:pPr>
        <w:pStyle w:val="ac"/>
        <w:spacing w:after="0" w:line="360" w:lineRule="auto"/>
        <w:ind w:left="360"/>
        <w:jc w:val="both"/>
        <w:rPr>
          <w:rFonts w:ascii="David" w:hAnsi="David" w:cs="David"/>
          <w:sz w:val="24"/>
          <w:szCs w:val="24"/>
          <w:rtl/>
        </w:rPr>
      </w:pPr>
    </w:p>
    <w:p w:rsidR="00272CAC" w:rsidRPr="0003714F"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יוער, כי אקדחו של הנאשם לא הוגש כראיה מטעמים שלא הובהרו על ידי המאשימה, וההגנה אף העלתה טענות בנדון (ר' פסקה 90 לסיכומיה). עם זאת, לא היתה מחלוקת כי האקדח בו עשה הנאשם שימוש בעת </w:t>
      </w:r>
      <w:r w:rsidRPr="005B58F9">
        <w:rPr>
          <w:rFonts w:ascii="David" w:hAnsi="David" w:cs="David" w:hint="cs"/>
          <w:sz w:val="24"/>
          <w:szCs w:val="24"/>
          <w:rtl/>
        </w:rPr>
        <w:t>האירוע היה תקין, ואפנה בנדון לחוות הדעת ת/126 לעיל. נוכח יריעת המחלוקת בענייננו, אין</w:t>
      </w:r>
      <w:r>
        <w:rPr>
          <w:rFonts w:ascii="David" w:hAnsi="David" w:cs="David" w:hint="cs"/>
          <w:sz w:val="24"/>
          <w:szCs w:val="24"/>
          <w:rtl/>
        </w:rPr>
        <w:t xml:space="preserve"> לאי הגשת האקדח כל השפעה לכאן או לכאן; </w:t>
      </w:r>
      <w:r w:rsidRPr="00D75804">
        <w:rPr>
          <w:rFonts w:ascii="David" w:hAnsi="David" w:cs="David" w:hint="cs"/>
          <w:sz w:val="24"/>
          <w:szCs w:val="24"/>
          <w:rtl/>
        </w:rPr>
        <w:t>ובכל מקרה דבר לא מנע מההגנה ל</w:t>
      </w:r>
      <w:r>
        <w:rPr>
          <w:rFonts w:ascii="David" w:hAnsi="David" w:cs="David" w:hint="cs"/>
          <w:sz w:val="24"/>
          <w:szCs w:val="24"/>
          <w:rtl/>
        </w:rPr>
        <w:t>הגיש את האקדח מטעמה, ל</w:t>
      </w:r>
      <w:r w:rsidRPr="00D75804">
        <w:rPr>
          <w:rFonts w:ascii="David" w:hAnsi="David" w:cs="David" w:hint="cs"/>
          <w:sz w:val="24"/>
          <w:szCs w:val="24"/>
          <w:rtl/>
        </w:rPr>
        <w:t>בדוק את ה-אקדח ולטעון כל טענה בנדון, דבר שלא נעשה</w:t>
      </w:r>
      <w:r>
        <w:rPr>
          <w:rFonts w:ascii="David" w:hAnsi="David" w:cs="David" w:hint="cs"/>
          <w:sz w:val="24"/>
          <w:szCs w:val="24"/>
          <w:rtl/>
        </w:rPr>
        <w:t xml:space="preserve"> (והשווה בנדון עם האמור בע"פ 5856/22 </w:t>
      </w:r>
      <w:r w:rsidRPr="0003714F">
        <w:rPr>
          <w:rFonts w:ascii="Miriam" w:hAnsi="Miriam" w:cs="Miriam"/>
          <w:sz w:val="24"/>
          <w:szCs w:val="24"/>
          <w:rtl/>
        </w:rPr>
        <w:t>סויטאת נ' מדינת ישראל</w:t>
      </w:r>
      <w:r w:rsidRPr="00D75804">
        <w:rPr>
          <w:rFonts w:ascii="David" w:hAnsi="David" w:cs="David"/>
          <w:sz w:val="24"/>
          <w:szCs w:val="24"/>
          <w:rtl/>
        </w:rPr>
        <w:t xml:space="preserve">, פסקה 22 </w:t>
      </w:r>
      <w:r>
        <w:rPr>
          <w:rFonts w:ascii="David" w:hAnsi="David" w:cs="David" w:hint="cs"/>
          <w:sz w:val="24"/>
          <w:szCs w:val="24"/>
          <w:rtl/>
        </w:rPr>
        <w:t xml:space="preserve">(21.3.23)). </w:t>
      </w: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 </w:t>
      </w: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וכעת לגוף הדיון שהתקיים במטווח גניגר </w:t>
      </w:r>
      <w:r>
        <w:rPr>
          <w:rFonts w:ascii="David" w:hAnsi="David" w:cs="David"/>
          <w:sz w:val="24"/>
          <w:szCs w:val="24"/>
          <w:rtl/>
        </w:rPr>
        <w:t>–</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Pr>
      </w:pPr>
      <w:r w:rsidRPr="00A64F65">
        <w:rPr>
          <w:rFonts w:ascii="David" w:hAnsi="David" w:cs="David" w:hint="cs"/>
          <w:sz w:val="24"/>
          <w:szCs w:val="24"/>
          <w:rtl/>
        </w:rPr>
        <w:t>כפי שניתן לראות בתיעוד ה</w:t>
      </w:r>
      <w:r>
        <w:rPr>
          <w:rFonts w:ascii="David" w:hAnsi="David" w:cs="David" w:hint="cs"/>
          <w:sz w:val="24"/>
          <w:szCs w:val="24"/>
          <w:rtl/>
        </w:rPr>
        <w:t>ו</w:t>
      </w:r>
      <w:r w:rsidRPr="00A64F65">
        <w:rPr>
          <w:rFonts w:ascii="David" w:hAnsi="David" w:cs="David" w:hint="cs"/>
          <w:sz w:val="24"/>
          <w:szCs w:val="24"/>
          <w:rtl/>
        </w:rPr>
        <w:t xml:space="preserve">וידיאו של הדיון </w:t>
      </w:r>
      <w:r>
        <w:rPr>
          <w:rFonts w:ascii="David" w:hAnsi="David" w:cs="David" w:hint="cs"/>
          <w:sz w:val="24"/>
          <w:szCs w:val="24"/>
          <w:rtl/>
        </w:rPr>
        <w:t xml:space="preserve">בחלק בו העיד הנאשם, </w:t>
      </w:r>
      <w:r w:rsidRPr="00A64F65">
        <w:rPr>
          <w:rFonts w:ascii="David" w:hAnsi="David" w:cs="David" w:hint="cs"/>
          <w:sz w:val="24"/>
          <w:szCs w:val="24"/>
          <w:rtl/>
        </w:rPr>
        <w:t xml:space="preserve">כאשר האקדח </w:t>
      </w:r>
      <w:r>
        <w:rPr>
          <w:rFonts w:ascii="David" w:hAnsi="David" w:cs="David" w:hint="cs"/>
          <w:sz w:val="24"/>
          <w:szCs w:val="24"/>
          <w:rtl/>
        </w:rPr>
        <w:t>ה</w:t>
      </w:r>
      <w:r w:rsidRPr="00A64F65">
        <w:rPr>
          <w:rFonts w:ascii="David" w:hAnsi="David" w:cs="David" w:hint="cs"/>
          <w:sz w:val="24"/>
          <w:szCs w:val="24"/>
          <w:rtl/>
        </w:rPr>
        <w:t xml:space="preserve">וחזק במצב "רגיל" (בניצב לקרקע), לחיצה על תפס המחסנית </w:t>
      </w:r>
      <w:r>
        <w:rPr>
          <w:rFonts w:ascii="David" w:hAnsi="David" w:cs="David" w:hint="cs"/>
          <w:sz w:val="24"/>
          <w:szCs w:val="24"/>
          <w:rtl/>
        </w:rPr>
        <w:t xml:space="preserve">גרמה, ככלל, להוצאת </w:t>
      </w:r>
      <w:r w:rsidRPr="00A64F65">
        <w:rPr>
          <w:rFonts w:ascii="David" w:hAnsi="David" w:cs="David" w:hint="cs"/>
          <w:sz w:val="24"/>
          <w:szCs w:val="24"/>
          <w:rtl/>
        </w:rPr>
        <w:t xml:space="preserve">המחסנית מבית המחסנית. </w:t>
      </w:r>
    </w:p>
    <w:p w:rsidR="00272CAC" w:rsidRPr="00696720"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lastRenderedPageBreak/>
        <w:t xml:space="preserve">עם זאת, ניתן היה לראות כי </w:t>
      </w:r>
      <w:r w:rsidRPr="00A64F65">
        <w:rPr>
          <w:rFonts w:ascii="David" w:hAnsi="David" w:cs="David" w:hint="cs"/>
          <w:sz w:val="24"/>
          <w:szCs w:val="24"/>
          <w:rtl/>
        </w:rPr>
        <w:t>לעתים</w:t>
      </w:r>
      <w:r>
        <w:rPr>
          <w:rFonts w:ascii="David" w:hAnsi="David" w:cs="David" w:hint="cs"/>
          <w:sz w:val="24"/>
          <w:szCs w:val="24"/>
          <w:rtl/>
        </w:rPr>
        <w:t xml:space="preserve">, עם הלחיצה על תפס המחסנית היא </w:t>
      </w:r>
      <w:r w:rsidRPr="00A64F65">
        <w:rPr>
          <w:rFonts w:ascii="David" w:hAnsi="David" w:cs="David" w:hint="cs"/>
          <w:sz w:val="24"/>
          <w:szCs w:val="24"/>
          <w:rtl/>
        </w:rPr>
        <w:t>יצא</w:t>
      </w:r>
      <w:r>
        <w:rPr>
          <w:rFonts w:ascii="David" w:hAnsi="David" w:cs="David" w:hint="cs"/>
          <w:sz w:val="24"/>
          <w:szCs w:val="24"/>
          <w:rtl/>
        </w:rPr>
        <w:t>ה</w:t>
      </w:r>
      <w:r w:rsidRPr="00A64F65">
        <w:rPr>
          <w:rFonts w:ascii="David" w:hAnsi="David" w:cs="David" w:hint="cs"/>
          <w:sz w:val="24"/>
          <w:szCs w:val="24"/>
          <w:rtl/>
        </w:rPr>
        <w:t xml:space="preserve"> </w:t>
      </w:r>
      <w:r>
        <w:rPr>
          <w:rFonts w:ascii="David" w:hAnsi="David" w:cs="David" w:hint="cs"/>
          <w:sz w:val="24"/>
          <w:szCs w:val="24"/>
          <w:rtl/>
        </w:rPr>
        <w:t xml:space="preserve">ממקומה </w:t>
      </w:r>
      <w:r w:rsidRPr="00A64F65">
        <w:rPr>
          <w:rFonts w:ascii="David" w:hAnsi="David" w:cs="David" w:hint="cs"/>
          <w:sz w:val="24"/>
          <w:szCs w:val="24"/>
          <w:rtl/>
        </w:rPr>
        <w:t>רק מס</w:t>
      </w:r>
      <w:r>
        <w:rPr>
          <w:rFonts w:ascii="David" w:hAnsi="David" w:cs="David" w:hint="cs"/>
          <w:sz w:val="24"/>
          <w:szCs w:val="24"/>
          <w:rtl/>
        </w:rPr>
        <w:t>פר</w:t>
      </w:r>
      <w:r w:rsidRPr="00A64F65">
        <w:rPr>
          <w:rFonts w:ascii="David" w:hAnsi="David" w:cs="David" w:hint="cs"/>
          <w:sz w:val="24"/>
          <w:szCs w:val="24"/>
          <w:rtl/>
        </w:rPr>
        <w:t xml:space="preserve"> מ"מ (ר' נומרטור 24:00 עד 24:05 לחלק הראשון של התיעוד);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עוד הודגמה פעם בה </w:t>
      </w:r>
      <w:r w:rsidRPr="00A64F65">
        <w:rPr>
          <w:rFonts w:ascii="David" w:hAnsi="David" w:cs="David" w:hint="cs"/>
          <w:sz w:val="24"/>
          <w:szCs w:val="24"/>
          <w:rtl/>
        </w:rPr>
        <w:t>ה</w:t>
      </w:r>
      <w:r>
        <w:rPr>
          <w:rFonts w:ascii="David" w:hAnsi="David" w:cs="David" w:hint="cs"/>
          <w:sz w:val="24"/>
          <w:szCs w:val="24"/>
          <w:rtl/>
        </w:rPr>
        <w:t xml:space="preserve">מחסנית </w:t>
      </w:r>
      <w:r w:rsidRPr="00A64F65">
        <w:rPr>
          <w:rFonts w:ascii="David" w:hAnsi="David" w:cs="David" w:hint="cs"/>
          <w:sz w:val="24"/>
          <w:szCs w:val="24"/>
          <w:rtl/>
        </w:rPr>
        <w:t>יצא</w:t>
      </w:r>
      <w:r>
        <w:rPr>
          <w:rFonts w:ascii="David" w:hAnsi="David" w:cs="David" w:hint="cs"/>
          <w:sz w:val="24"/>
          <w:szCs w:val="24"/>
          <w:rtl/>
        </w:rPr>
        <w:t>ה</w:t>
      </w:r>
      <w:r w:rsidRPr="00A64F65">
        <w:rPr>
          <w:rFonts w:ascii="David" w:hAnsi="David" w:cs="David" w:hint="cs"/>
          <w:sz w:val="24"/>
          <w:szCs w:val="24"/>
          <w:rtl/>
        </w:rPr>
        <w:t xml:space="preserve"> </w:t>
      </w:r>
      <w:r>
        <w:rPr>
          <w:rFonts w:ascii="David" w:hAnsi="David" w:cs="David" w:hint="cs"/>
          <w:sz w:val="24"/>
          <w:szCs w:val="24"/>
          <w:rtl/>
        </w:rPr>
        <w:t xml:space="preserve">ממקומה ונפלה </w:t>
      </w:r>
      <w:r w:rsidRPr="00A64F65">
        <w:rPr>
          <w:rFonts w:ascii="David" w:hAnsi="David" w:cs="David" w:hint="cs"/>
          <w:sz w:val="24"/>
          <w:szCs w:val="24"/>
          <w:rtl/>
        </w:rPr>
        <w:t xml:space="preserve">על הארץ (ר' נומרטור 24:10 עד 24:15);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A64F65">
        <w:rPr>
          <w:rFonts w:ascii="David" w:hAnsi="David" w:cs="David" w:hint="cs"/>
          <w:sz w:val="24"/>
          <w:szCs w:val="24"/>
          <w:rtl/>
        </w:rPr>
        <w:t>בהדגמה אח</w:t>
      </w:r>
      <w:r>
        <w:rPr>
          <w:rFonts w:ascii="David" w:hAnsi="David" w:cs="David" w:hint="cs"/>
          <w:sz w:val="24"/>
          <w:szCs w:val="24"/>
          <w:rtl/>
        </w:rPr>
        <w:t>ר</w:t>
      </w:r>
      <w:r w:rsidRPr="00A64F65">
        <w:rPr>
          <w:rFonts w:ascii="David" w:hAnsi="David" w:cs="David" w:hint="cs"/>
          <w:sz w:val="24"/>
          <w:szCs w:val="24"/>
          <w:rtl/>
        </w:rPr>
        <w:t xml:space="preserve">ת הנאשם </w:t>
      </w:r>
      <w:r>
        <w:rPr>
          <w:rFonts w:ascii="David" w:hAnsi="David" w:cs="David" w:hint="cs"/>
          <w:sz w:val="24"/>
          <w:szCs w:val="24"/>
          <w:rtl/>
        </w:rPr>
        <w:t xml:space="preserve">לחץ על תפס המחסנית, היא יצאה ממקומה מספר מ"מ ורק לאחר "ניעור" היא נפלה על הארץ (ר' נומרטור 25:10 עד 25:16 לחלק הראשון של התיעוד);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כאשר התבקש הנאשם להדגים את הירי במנוח, הוא עשה זאת כאשר החזיק את האקדח כשהוא </w:t>
      </w:r>
      <w:r w:rsidRPr="002F5AE6">
        <w:rPr>
          <w:rFonts w:ascii="David" w:hAnsi="David" w:cs="David" w:hint="cs"/>
          <w:sz w:val="24"/>
          <w:szCs w:val="24"/>
          <w:u w:val="single"/>
          <w:rtl/>
        </w:rPr>
        <w:t>אופקי</w:t>
      </w:r>
      <w:r>
        <w:rPr>
          <w:rFonts w:ascii="David" w:hAnsi="David" w:cs="David" w:hint="cs"/>
          <w:sz w:val="24"/>
          <w:szCs w:val="24"/>
          <w:rtl/>
        </w:rPr>
        <w:t xml:space="preserve"> לקרקע (חלק שני של התיעוד, נומרטור 17:30 עד 17:50) באופן שגם אם המחסנית יצאה, היא לא היתה נופלת על הארץ. עם זאת, בהמשך ציין שהוא אינו זוכר באיזה מנח הוא החזיק בעת האירוע את האקדח </w:t>
      </w:r>
      <w:r>
        <w:rPr>
          <w:rFonts w:ascii="David" w:hAnsi="David" w:cs="David"/>
          <w:sz w:val="24"/>
          <w:szCs w:val="24"/>
          <w:rtl/>
        </w:rPr>
        <w:t>–</w:t>
      </w:r>
      <w:r>
        <w:rPr>
          <w:rFonts w:ascii="David" w:hAnsi="David" w:cs="David" w:hint="cs"/>
          <w:sz w:val="24"/>
          <w:szCs w:val="24"/>
          <w:rtl/>
        </w:rPr>
        <w:t xml:space="preserve"> אופקי או אנכי (חלק שני של התיעוד, נומרטור 19:00).</w:t>
      </w:r>
    </w:p>
    <w:p w:rsidR="00272CAC" w:rsidRPr="002F5AE6" w:rsidRDefault="00272CAC" w:rsidP="00272CAC">
      <w:pPr>
        <w:pStyle w:val="ac"/>
        <w:spacing w:after="0" w:line="360" w:lineRule="auto"/>
        <w:ind w:left="360"/>
        <w:jc w:val="both"/>
        <w:rPr>
          <w:rFonts w:ascii="David" w:hAnsi="David" w:cs="David"/>
          <w:sz w:val="24"/>
          <w:szCs w:val="24"/>
        </w:rPr>
      </w:pPr>
    </w:p>
    <w:p w:rsidR="00272CAC" w:rsidRPr="002F5AE6" w:rsidRDefault="00272CAC" w:rsidP="00272CAC">
      <w:pPr>
        <w:pStyle w:val="ac"/>
        <w:numPr>
          <w:ilvl w:val="0"/>
          <w:numId w:val="14"/>
        </w:numPr>
        <w:spacing w:after="0" w:line="360" w:lineRule="auto"/>
        <w:jc w:val="both"/>
        <w:rPr>
          <w:rFonts w:ascii="David" w:hAnsi="David" w:cs="David"/>
          <w:sz w:val="24"/>
          <w:szCs w:val="24"/>
        </w:rPr>
      </w:pPr>
      <w:r w:rsidRPr="002F5AE6">
        <w:rPr>
          <w:rFonts w:ascii="David" w:hAnsi="David" w:cs="David" w:hint="cs"/>
          <w:sz w:val="24"/>
          <w:szCs w:val="24"/>
          <w:rtl/>
        </w:rPr>
        <w:t xml:space="preserve">הנאשם התבקש להדגים "משחק" אחר אותו נהג לבצע והוא הכנסת והוצאת האקדח לפונדה (נרתיק האקדח). במצב "רגיל" הכנסת האקדח לפונדה אינה דורכת את האקדח (חלק שני של התיעוד, נומרטור 04:35 עד 04:45). הנאשם אישר שלא ידוע לו באם במהלך שירותו אקדחו נדרך תוך כדי הכנסתו לפונדה. זאת ועוד, הוא אישר שאם דריכה בלתי רצונית שכזו היתה מתרחשת, היא היתה אמורה להתגלות </w:t>
      </w:r>
      <w:r>
        <w:rPr>
          <w:rFonts w:ascii="David" w:hAnsi="David" w:cs="David" w:hint="cs"/>
          <w:sz w:val="24"/>
          <w:szCs w:val="24"/>
          <w:rtl/>
        </w:rPr>
        <w:t xml:space="preserve">בפריקת </w:t>
      </w:r>
      <w:r w:rsidRPr="002F5AE6">
        <w:rPr>
          <w:rFonts w:ascii="David" w:hAnsi="David" w:cs="David" w:hint="cs"/>
          <w:sz w:val="24"/>
          <w:szCs w:val="24"/>
          <w:rtl/>
        </w:rPr>
        <w:t xml:space="preserve">האקדח </w:t>
      </w:r>
      <w:r w:rsidRPr="002F5AE6">
        <w:rPr>
          <w:rFonts w:ascii="David" w:hAnsi="David" w:cs="David"/>
          <w:sz w:val="24"/>
          <w:szCs w:val="24"/>
          <w:rtl/>
        </w:rPr>
        <w:t>–</w:t>
      </w:r>
      <w:r w:rsidRPr="002F5AE6">
        <w:rPr>
          <w:rFonts w:ascii="David" w:hAnsi="David" w:cs="David" w:hint="cs"/>
          <w:sz w:val="24"/>
          <w:szCs w:val="24"/>
          <w:rtl/>
        </w:rPr>
        <w:t xml:space="preserve"> עת הכדור היה אמור לה</w:t>
      </w:r>
      <w:r>
        <w:rPr>
          <w:rFonts w:ascii="David" w:hAnsi="David" w:cs="David" w:hint="cs"/>
          <w:sz w:val="24"/>
          <w:szCs w:val="24"/>
          <w:rtl/>
        </w:rPr>
        <w:t>יחלץ מבית הבליעה</w:t>
      </w:r>
      <w:r w:rsidRPr="002F5AE6">
        <w:rPr>
          <w:rFonts w:ascii="David" w:hAnsi="David" w:cs="David" w:hint="cs"/>
          <w:sz w:val="24"/>
          <w:szCs w:val="24"/>
          <w:rtl/>
        </w:rPr>
        <w:t xml:space="preserve"> (חלק שני של התיעוד, נומרטור 06:00 עד 06:20). </w:t>
      </w:r>
    </w:p>
    <w:p w:rsidR="00272CAC" w:rsidRPr="00F85C1D"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sidRPr="0091310D">
        <w:rPr>
          <w:rFonts w:ascii="David" w:hAnsi="David" w:cs="David" w:hint="cs"/>
          <w:sz w:val="24"/>
          <w:szCs w:val="24"/>
          <w:rtl/>
        </w:rPr>
        <w:t>כאשר התבקש הנאשם לדרוך (ובכך לטעון) את האקדח תוך כדי הכנסתו לפונדה, הוא הצליח אמנם לעשות זאת, אך רק לאחר מספר ניסיונות</w:t>
      </w:r>
      <w:r>
        <w:rPr>
          <w:rFonts w:ascii="David" w:hAnsi="David" w:cs="David" w:hint="cs"/>
          <w:sz w:val="24"/>
          <w:szCs w:val="24"/>
          <w:rtl/>
        </w:rPr>
        <w:t xml:space="preserve">. </w:t>
      </w:r>
      <w:r w:rsidRPr="0091310D">
        <w:rPr>
          <w:rFonts w:ascii="David" w:hAnsi="David" w:cs="David" w:hint="cs"/>
          <w:sz w:val="24"/>
          <w:szCs w:val="24"/>
          <w:rtl/>
        </w:rPr>
        <w:t>עלה בבירור</w:t>
      </w:r>
      <w:r>
        <w:rPr>
          <w:rFonts w:ascii="David" w:hAnsi="David" w:cs="David" w:hint="cs"/>
          <w:sz w:val="24"/>
          <w:szCs w:val="24"/>
          <w:rtl/>
        </w:rPr>
        <w:t>,</w:t>
      </w:r>
      <w:r w:rsidRPr="0091310D">
        <w:rPr>
          <w:rFonts w:ascii="David" w:hAnsi="David" w:cs="David" w:hint="cs"/>
          <w:sz w:val="24"/>
          <w:szCs w:val="24"/>
          <w:rtl/>
        </w:rPr>
        <w:t xml:space="preserve"> כי מדובר בפעולה "לא טבעית" כאשר הנאשם "השתדל" שהצינה תיתפס בפונדה (חלק שני של התיעוד, נומרטור 04:35 עד 04:45)</w:t>
      </w:r>
    </w:p>
    <w:p w:rsidR="00272CAC" w:rsidRDefault="00272CAC" w:rsidP="00272CAC">
      <w:pPr>
        <w:pStyle w:val="ac"/>
        <w:spacing w:after="0" w:line="360" w:lineRule="auto"/>
        <w:ind w:left="360"/>
        <w:jc w:val="both"/>
        <w:rPr>
          <w:rFonts w:ascii="David" w:hAnsi="David" w:cs="David"/>
          <w:sz w:val="24"/>
          <w:szCs w:val="24"/>
          <w:rtl/>
        </w:rPr>
      </w:pPr>
    </w:p>
    <w:p w:rsidR="00272CAC" w:rsidRPr="002F5AE6" w:rsidRDefault="00272CAC" w:rsidP="00272CAC">
      <w:pPr>
        <w:pStyle w:val="ac"/>
        <w:spacing w:after="0" w:line="360" w:lineRule="auto"/>
        <w:ind w:left="360"/>
        <w:jc w:val="both"/>
        <w:rPr>
          <w:rFonts w:ascii="David" w:hAnsi="David" w:cs="David"/>
          <w:sz w:val="24"/>
          <w:szCs w:val="24"/>
          <w:u w:val="single"/>
        </w:rPr>
      </w:pPr>
      <w:r w:rsidRPr="002F5AE6">
        <w:rPr>
          <w:rFonts w:ascii="David" w:hAnsi="David" w:cs="David" w:hint="cs"/>
          <w:sz w:val="24"/>
          <w:szCs w:val="24"/>
          <w:u w:val="single"/>
          <w:rtl/>
        </w:rPr>
        <w:t>עדות עד ההגנה, מר אברהם הוניג</w:t>
      </w: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b/>
          <w:bCs/>
          <w:sz w:val="24"/>
          <w:szCs w:val="24"/>
          <w:rtl/>
        </w:rPr>
        <w:t xml:space="preserve">מלבד הנאשם העיד מטעם ההגנה </w:t>
      </w:r>
      <w:r w:rsidRPr="00F85C1D">
        <w:rPr>
          <w:rFonts w:ascii="David" w:hAnsi="David" w:cs="David" w:hint="cs"/>
          <w:b/>
          <w:bCs/>
          <w:sz w:val="24"/>
          <w:szCs w:val="24"/>
          <w:rtl/>
        </w:rPr>
        <w:t>מר אברהם הוניג</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מדריך ירי ומנהל מטווח. מר הוניג התבקש להסביר אודות אקדח השירות אותו נשא הנאשם ובו עשה שימוש בעת האירוע - גלוק 19, וכן התבקש לבחון מספר תרחישים אפשריים שהוצגו לו על ידי ההגנה בנוגע לסוג אקדח זה. את מסקנותיו, כולל תשובות לשאלות שהופנו אליו, הוא העלה במסמך נ/9 וההדגמות שערך תועדו בדיסק נ/8. חקירתו הנגדית התקיימה במטווח גניגר ביום 20.3.23 ותועדה בווידיאו. </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sidRPr="00F85C1D">
        <w:rPr>
          <w:rFonts w:ascii="David" w:hAnsi="David" w:cs="David" w:hint="cs"/>
          <w:sz w:val="24"/>
          <w:szCs w:val="24"/>
          <w:rtl/>
        </w:rPr>
        <w:t>אקדים ואציין כי מר הוניג התגלה כעד מקצועי, אמין</w:t>
      </w:r>
      <w:r>
        <w:rPr>
          <w:rFonts w:ascii="David" w:hAnsi="David" w:cs="David" w:hint="cs"/>
          <w:sz w:val="24"/>
          <w:szCs w:val="24"/>
          <w:rtl/>
        </w:rPr>
        <w:t>,</w:t>
      </w:r>
      <w:r w:rsidRPr="00F85C1D">
        <w:rPr>
          <w:rFonts w:ascii="David" w:hAnsi="David" w:cs="David" w:hint="cs"/>
          <w:sz w:val="24"/>
          <w:szCs w:val="24"/>
          <w:rtl/>
        </w:rPr>
        <w:t xml:space="preserve"> מהימן</w:t>
      </w:r>
      <w:r>
        <w:rPr>
          <w:rFonts w:ascii="David" w:hAnsi="David" w:cs="David" w:hint="cs"/>
          <w:sz w:val="24"/>
          <w:szCs w:val="24"/>
          <w:rtl/>
        </w:rPr>
        <w:t xml:space="preserve"> ובעל ניסיון</w:t>
      </w:r>
      <w:r w:rsidRPr="00F85C1D">
        <w:rPr>
          <w:rFonts w:ascii="David" w:hAnsi="David" w:cs="David" w:hint="cs"/>
          <w:sz w:val="24"/>
          <w:szCs w:val="24"/>
          <w:rtl/>
        </w:rPr>
        <w:t>. כפי שיובהר להלן</w:t>
      </w:r>
      <w:r>
        <w:rPr>
          <w:rFonts w:ascii="David" w:hAnsi="David" w:cs="David" w:hint="cs"/>
          <w:sz w:val="24"/>
          <w:szCs w:val="24"/>
          <w:rtl/>
        </w:rPr>
        <w:t>,</w:t>
      </w:r>
      <w:r w:rsidRPr="00F85C1D">
        <w:rPr>
          <w:rFonts w:ascii="David" w:hAnsi="David" w:cs="David" w:hint="cs"/>
          <w:sz w:val="24"/>
          <w:szCs w:val="24"/>
          <w:rtl/>
        </w:rPr>
        <w:t xml:space="preserve"> הוא העלה תרחישים שחלקם אולי אינו שכיח, אך הוא לא ניסה להציגם ככאלה</w:t>
      </w:r>
      <w:r>
        <w:rPr>
          <w:rFonts w:ascii="David" w:hAnsi="David" w:cs="David" w:hint="cs"/>
          <w:sz w:val="24"/>
          <w:szCs w:val="24"/>
          <w:rtl/>
        </w:rPr>
        <w:t xml:space="preserve">. </w:t>
      </w:r>
      <w:r w:rsidRPr="00F85C1D">
        <w:rPr>
          <w:rFonts w:ascii="David" w:hAnsi="David" w:cs="David" w:hint="cs"/>
          <w:sz w:val="24"/>
          <w:szCs w:val="24"/>
          <w:rtl/>
        </w:rPr>
        <w:t xml:space="preserve">לא ברורה תרעומת </w:t>
      </w:r>
      <w:r w:rsidRPr="00F85C1D">
        <w:rPr>
          <w:rFonts w:ascii="David" w:hAnsi="David" w:cs="David" w:hint="cs"/>
          <w:sz w:val="24"/>
          <w:szCs w:val="24"/>
          <w:rtl/>
        </w:rPr>
        <w:lastRenderedPageBreak/>
        <w:t>המאשימה כלפי</w:t>
      </w:r>
      <w:r>
        <w:rPr>
          <w:rFonts w:ascii="David" w:hAnsi="David" w:cs="David" w:hint="cs"/>
          <w:sz w:val="24"/>
          <w:szCs w:val="24"/>
          <w:rtl/>
        </w:rPr>
        <w:t xml:space="preserve"> העד במסגרת סיכומיה;</w:t>
      </w:r>
      <w:r w:rsidRPr="00F85C1D">
        <w:rPr>
          <w:rFonts w:ascii="David" w:hAnsi="David" w:cs="David" w:hint="cs"/>
          <w:sz w:val="24"/>
          <w:szCs w:val="24"/>
          <w:rtl/>
        </w:rPr>
        <w:t xml:space="preserve"> </w:t>
      </w:r>
      <w:r w:rsidRPr="00C03DD5">
        <w:rPr>
          <w:rFonts w:ascii="David" w:hAnsi="David" w:cs="David" w:hint="cs"/>
          <w:sz w:val="24"/>
          <w:szCs w:val="24"/>
          <w:u w:val="single"/>
          <w:rtl/>
        </w:rPr>
        <w:t>ובכל מקרה אף לא אחת מטענותיו העובדתיות של העד נסתרה</w:t>
      </w:r>
      <w:r w:rsidRPr="00F85C1D">
        <w:rPr>
          <w:rFonts w:ascii="David" w:hAnsi="David" w:cs="David" w:hint="cs"/>
          <w:sz w:val="24"/>
          <w:szCs w:val="24"/>
          <w:rtl/>
        </w:rPr>
        <w:t xml:space="preserve">. אביא באופן כללי, בהתעלם מחריגים שאינם רלוונטיים לענייננו, את תמצית תיאוריו וממצאיו. </w:t>
      </w:r>
    </w:p>
    <w:p w:rsidR="00272CAC" w:rsidRPr="00F85C1D"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F85C1D">
        <w:rPr>
          <w:rFonts w:ascii="David" w:hAnsi="David" w:cs="David" w:hint="cs"/>
          <w:sz w:val="24"/>
          <w:szCs w:val="24"/>
          <w:u w:val="single"/>
          <w:rtl/>
        </w:rPr>
        <w:t>לעניין מנגנון ההדק של אקדח הגלוק</w:t>
      </w:r>
      <w:r w:rsidRPr="00F85C1D">
        <w:rPr>
          <w:rFonts w:ascii="David" w:hAnsi="David" w:cs="David" w:hint="cs"/>
          <w:sz w:val="24"/>
          <w:szCs w:val="24"/>
          <w:rtl/>
        </w:rPr>
        <w:t>, הוסבר והודגם שכאשר האקדח אינו דרוך</w:t>
      </w:r>
      <w:r>
        <w:rPr>
          <w:rFonts w:ascii="David" w:hAnsi="David" w:cs="David" w:hint="cs"/>
          <w:sz w:val="24"/>
          <w:szCs w:val="24"/>
          <w:rtl/>
        </w:rPr>
        <w:t>,</w:t>
      </w:r>
      <w:r w:rsidRPr="00F85C1D">
        <w:rPr>
          <w:rFonts w:ascii="David" w:hAnsi="David" w:cs="David" w:hint="cs"/>
          <w:sz w:val="24"/>
          <w:szCs w:val="24"/>
          <w:rtl/>
        </w:rPr>
        <w:t xml:space="preserve"> ההדק נמצא </w:t>
      </w:r>
      <w:r w:rsidRPr="00B379F6">
        <w:rPr>
          <w:rFonts w:ascii="David" w:hAnsi="David" w:cs="David" w:hint="cs"/>
          <w:sz w:val="24"/>
          <w:szCs w:val="24"/>
          <w:u w:val="single"/>
          <w:rtl/>
        </w:rPr>
        <w:t>במצב אחורי</w:t>
      </w:r>
      <w:r w:rsidRPr="00F85C1D">
        <w:rPr>
          <w:rFonts w:ascii="David" w:hAnsi="David" w:cs="David" w:hint="cs"/>
          <w:sz w:val="24"/>
          <w:szCs w:val="24"/>
          <w:rtl/>
        </w:rPr>
        <w:t xml:space="preserve">; וכשהאקדח דרוך, ההדק נמצא </w:t>
      </w:r>
      <w:r w:rsidRPr="00B379F6">
        <w:rPr>
          <w:rFonts w:ascii="David" w:hAnsi="David" w:cs="David" w:hint="cs"/>
          <w:sz w:val="24"/>
          <w:szCs w:val="24"/>
          <w:u w:val="single"/>
          <w:rtl/>
        </w:rPr>
        <w:t>במצב  קדמי</w:t>
      </w:r>
      <w:r w:rsidRPr="00F85C1D">
        <w:rPr>
          <w:rFonts w:ascii="David" w:hAnsi="David" w:cs="David" w:hint="cs"/>
          <w:sz w:val="24"/>
          <w:szCs w:val="24"/>
          <w:rtl/>
        </w:rPr>
        <w:t xml:space="preserve">. </w:t>
      </w:r>
    </w:p>
    <w:p w:rsidR="00272CAC" w:rsidRPr="00B379F6"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sidRPr="00F85C1D">
        <w:rPr>
          <w:rFonts w:ascii="David" w:hAnsi="David" w:cs="David" w:hint="cs"/>
          <w:sz w:val="24"/>
          <w:szCs w:val="24"/>
          <w:rtl/>
        </w:rPr>
        <w:t xml:space="preserve">במצב הקדמי, כדי להגיע לנקירה יש לעבור שני שלבים </w:t>
      </w:r>
      <w:r w:rsidRPr="00F85C1D">
        <w:rPr>
          <w:rFonts w:ascii="David" w:hAnsi="David" w:cs="David"/>
          <w:sz w:val="24"/>
          <w:szCs w:val="24"/>
          <w:rtl/>
        </w:rPr>
        <w:t>–</w:t>
      </w:r>
      <w:r w:rsidRPr="00F85C1D">
        <w:rPr>
          <w:rFonts w:ascii="David" w:hAnsi="David" w:cs="David" w:hint="cs"/>
          <w:sz w:val="24"/>
          <w:szCs w:val="24"/>
          <w:rtl/>
        </w:rPr>
        <w:t xml:space="preserve"> הראשון הוא לחיצה רכה המוגדרת כ"מהלך סרק", ורק בשלב הבא (לחיצה "קשה") מתבצעת נקירה (סרטון שני של הדיון במטווח, נומרטור 10:30 עד 11:00; וכן סרטון שכונה "לחיצות קצרות על ההדק" בנ/8). </w:t>
      </w:r>
    </w:p>
    <w:p w:rsidR="00272CAC" w:rsidRPr="00B379F6" w:rsidRDefault="00272CAC" w:rsidP="00272CAC">
      <w:pPr>
        <w:pStyle w:val="ac"/>
        <w:rPr>
          <w:rFonts w:ascii="David" w:hAnsi="David" w:cs="David"/>
          <w:sz w:val="24"/>
          <w:szCs w:val="24"/>
          <w:rtl/>
        </w:rPr>
      </w:pPr>
    </w:p>
    <w:p w:rsidR="00272CAC" w:rsidRPr="00F85C1D" w:rsidRDefault="00272CAC" w:rsidP="00272CAC">
      <w:pPr>
        <w:pStyle w:val="ac"/>
        <w:spacing w:after="0" w:line="360" w:lineRule="auto"/>
        <w:ind w:left="360"/>
        <w:jc w:val="both"/>
        <w:rPr>
          <w:rFonts w:ascii="David" w:hAnsi="David" w:cs="David"/>
          <w:sz w:val="24"/>
          <w:szCs w:val="24"/>
          <w:rtl/>
        </w:rPr>
      </w:pPr>
      <w:r w:rsidRPr="00F85C1D">
        <w:rPr>
          <w:rFonts w:ascii="David" w:hAnsi="David" w:cs="David" w:hint="cs"/>
          <w:sz w:val="24"/>
          <w:szCs w:val="24"/>
          <w:rtl/>
        </w:rPr>
        <w:t>[עוד הוסבר והודגם מנגנון "נצרת ההדק"</w:t>
      </w:r>
      <w:r>
        <w:rPr>
          <w:rFonts w:ascii="David" w:hAnsi="David" w:cs="David" w:hint="cs"/>
          <w:sz w:val="24"/>
          <w:szCs w:val="24"/>
          <w:rtl/>
        </w:rPr>
        <w:t xml:space="preserve">, </w:t>
      </w:r>
      <w:r w:rsidRPr="00F85C1D">
        <w:rPr>
          <w:rFonts w:ascii="David" w:hAnsi="David" w:cs="David" w:hint="cs"/>
          <w:sz w:val="24"/>
          <w:szCs w:val="24"/>
          <w:rtl/>
        </w:rPr>
        <w:t xml:space="preserve">או </w:t>
      </w:r>
      <w:r>
        <w:rPr>
          <w:rFonts w:ascii="David" w:hAnsi="David" w:cs="David" w:hint="cs"/>
          <w:sz w:val="24"/>
          <w:szCs w:val="24"/>
          <w:rtl/>
        </w:rPr>
        <w:t xml:space="preserve">- </w:t>
      </w:r>
      <w:r w:rsidRPr="00F85C1D">
        <w:rPr>
          <w:rFonts w:ascii="David" w:hAnsi="David" w:cs="David" w:hint="cs"/>
          <w:sz w:val="24"/>
          <w:szCs w:val="24"/>
          <w:rtl/>
        </w:rPr>
        <w:t>"מבטל ההדק", שהוא מעין "מנוף" קטן בתוך ההדק שתפקידו למנוע לחיצה לא מכוונת על ההדק</w:t>
      </w:r>
      <w:r>
        <w:rPr>
          <w:rFonts w:ascii="David" w:hAnsi="David" w:cs="David" w:hint="cs"/>
          <w:sz w:val="24"/>
          <w:szCs w:val="24"/>
          <w:rtl/>
        </w:rPr>
        <w:t xml:space="preserve">. מטרת אותה נצרה היא לאפשר </w:t>
      </w:r>
      <w:r w:rsidRPr="00F85C1D">
        <w:rPr>
          <w:rFonts w:ascii="David" w:hAnsi="David" w:cs="David" w:hint="cs"/>
          <w:sz w:val="24"/>
          <w:szCs w:val="24"/>
          <w:rtl/>
        </w:rPr>
        <w:t xml:space="preserve">לחיצה על ההדק </w:t>
      </w:r>
      <w:r>
        <w:rPr>
          <w:rFonts w:ascii="David" w:hAnsi="David" w:cs="David" w:hint="cs"/>
          <w:sz w:val="24"/>
          <w:szCs w:val="24"/>
          <w:rtl/>
        </w:rPr>
        <w:t xml:space="preserve">רק </w:t>
      </w:r>
      <w:r w:rsidRPr="00F85C1D">
        <w:rPr>
          <w:rFonts w:ascii="David" w:hAnsi="David" w:cs="David" w:hint="cs"/>
          <w:sz w:val="24"/>
          <w:szCs w:val="24"/>
          <w:rtl/>
        </w:rPr>
        <w:t xml:space="preserve">כאשר </w:t>
      </w:r>
      <w:r>
        <w:rPr>
          <w:rFonts w:ascii="David" w:hAnsi="David" w:cs="David" w:hint="cs"/>
          <w:sz w:val="24"/>
          <w:szCs w:val="24"/>
          <w:rtl/>
        </w:rPr>
        <w:t>ה</w:t>
      </w:r>
      <w:r w:rsidRPr="00F85C1D">
        <w:rPr>
          <w:rFonts w:ascii="David" w:hAnsi="David" w:cs="David" w:hint="cs"/>
          <w:sz w:val="24"/>
          <w:szCs w:val="24"/>
          <w:rtl/>
        </w:rPr>
        <w:t xml:space="preserve">אצבע היורה לוחצת על ההדק. מנגנון זה אינו רלוונטי לעניינו ולכן לא נרחיב בו, והוא אחד ממנגנוני הבטיחות באקדח הגלוק, שנעדר נצרה "רגילה" כבחלק מאקדחים אחרים]. </w:t>
      </w:r>
    </w:p>
    <w:p w:rsidR="00272CAC" w:rsidRDefault="00272CAC" w:rsidP="00272CAC">
      <w:pPr>
        <w:pStyle w:val="ac"/>
        <w:spacing w:after="0" w:line="360" w:lineRule="auto"/>
        <w:ind w:left="360"/>
        <w:jc w:val="both"/>
        <w:rPr>
          <w:rFonts w:ascii="David" w:hAnsi="David" w:cs="David"/>
          <w:sz w:val="24"/>
          <w:szCs w:val="24"/>
          <w:rtl/>
        </w:rPr>
      </w:pPr>
    </w:p>
    <w:p w:rsidR="00272CAC" w:rsidRPr="002F5AE6" w:rsidRDefault="00272CAC" w:rsidP="00272CAC">
      <w:pPr>
        <w:pStyle w:val="ac"/>
        <w:numPr>
          <w:ilvl w:val="0"/>
          <w:numId w:val="14"/>
        </w:numPr>
        <w:spacing w:after="0" w:line="360" w:lineRule="auto"/>
        <w:jc w:val="both"/>
        <w:rPr>
          <w:rFonts w:ascii="David" w:hAnsi="David" w:cs="David"/>
          <w:b/>
          <w:bCs/>
          <w:sz w:val="24"/>
          <w:szCs w:val="24"/>
        </w:rPr>
      </w:pPr>
      <w:r w:rsidRPr="002F5AE6">
        <w:rPr>
          <w:rFonts w:ascii="David" w:hAnsi="David" w:cs="David" w:hint="cs"/>
          <w:b/>
          <w:bCs/>
          <w:sz w:val="24"/>
          <w:szCs w:val="24"/>
          <w:u w:val="single"/>
          <w:rtl/>
        </w:rPr>
        <w:t>לגבי המחסנית והשפעתה על האקדח</w:t>
      </w:r>
      <w:r w:rsidRPr="002F5AE6">
        <w:rPr>
          <w:rFonts w:ascii="David" w:hAnsi="David" w:cs="David" w:hint="cs"/>
          <w:b/>
          <w:bCs/>
          <w:sz w:val="24"/>
          <w:szCs w:val="24"/>
          <w:rtl/>
        </w:rPr>
        <w:t xml:space="preserve">, העד ציין שכאשר הנשק טעון במחסנית, וכאשר לוחצים על תפס המחסנית </w:t>
      </w:r>
      <w:r w:rsidRPr="002F5AE6">
        <w:rPr>
          <w:rFonts w:ascii="David" w:hAnsi="David" w:cs="David" w:hint="cs"/>
          <w:b/>
          <w:bCs/>
          <w:sz w:val="24"/>
          <w:szCs w:val="24"/>
          <w:u w:val="single"/>
          <w:rtl/>
        </w:rPr>
        <w:t>והמחסנית משתחררת מהתפס</w:t>
      </w:r>
      <w:r w:rsidRPr="002F5AE6">
        <w:rPr>
          <w:rFonts w:ascii="David" w:hAnsi="David" w:cs="David" w:hint="cs"/>
          <w:b/>
          <w:bCs/>
          <w:sz w:val="24"/>
          <w:szCs w:val="24"/>
          <w:rtl/>
        </w:rPr>
        <w:t xml:space="preserve"> (גם אם מבחינה ויזואלית היא נראית </w:t>
      </w:r>
      <w:r>
        <w:rPr>
          <w:rFonts w:ascii="David" w:hAnsi="David" w:cs="David" w:hint="cs"/>
          <w:b/>
          <w:bCs/>
          <w:sz w:val="24"/>
          <w:szCs w:val="24"/>
          <w:rtl/>
        </w:rPr>
        <w:t xml:space="preserve">על פני הדברים </w:t>
      </w:r>
      <w:r w:rsidRPr="002F5AE6">
        <w:rPr>
          <w:rFonts w:ascii="David" w:hAnsi="David" w:cs="David" w:hint="cs"/>
          <w:b/>
          <w:bCs/>
          <w:sz w:val="24"/>
          <w:szCs w:val="24"/>
          <w:rtl/>
        </w:rPr>
        <w:t xml:space="preserve">כולה בתוך באר  המחסנית), </w:t>
      </w:r>
      <w:r w:rsidRPr="002F5AE6">
        <w:rPr>
          <w:rFonts w:ascii="David" w:hAnsi="David" w:cs="David" w:hint="cs"/>
          <w:b/>
          <w:bCs/>
          <w:sz w:val="24"/>
          <w:szCs w:val="24"/>
          <w:u w:val="single"/>
          <w:rtl/>
        </w:rPr>
        <w:t>לא ייגרף כדור בעת דריכת האקדח</w:t>
      </w:r>
      <w:r w:rsidRPr="002F5AE6">
        <w:rPr>
          <w:rFonts w:ascii="David" w:hAnsi="David" w:cs="David" w:hint="cs"/>
          <w:b/>
          <w:bCs/>
          <w:sz w:val="24"/>
          <w:szCs w:val="24"/>
          <w:rtl/>
        </w:rPr>
        <w:t xml:space="preserve">. </w:t>
      </w:r>
    </w:p>
    <w:p w:rsidR="00272CAC" w:rsidRPr="00D75804" w:rsidRDefault="00272CAC" w:rsidP="00272CAC">
      <w:pPr>
        <w:pStyle w:val="ac"/>
        <w:spacing w:after="0" w:line="360" w:lineRule="auto"/>
        <w:ind w:left="360"/>
        <w:jc w:val="both"/>
        <w:rPr>
          <w:rFonts w:ascii="David" w:hAnsi="David" w:cs="David"/>
          <w:sz w:val="24"/>
          <w:szCs w:val="24"/>
          <w:u w:val="single"/>
          <w:rtl/>
        </w:rPr>
      </w:pPr>
    </w:p>
    <w:p w:rsidR="00272CAC" w:rsidRPr="002F5AE6" w:rsidRDefault="00272CAC" w:rsidP="00272CAC">
      <w:pPr>
        <w:pStyle w:val="ac"/>
        <w:spacing w:after="0" w:line="360" w:lineRule="auto"/>
        <w:ind w:left="360"/>
        <w:jc w:val="both"/>
        <w:rPr>
          <w:rFonts w:ascii="David" w:hAnsi="David" w:cs="David"/>
          <w:b/>
          <w:bCs/>
          <w:sz w:val="24"/>
          <w:szCs w:val="24"/>
          <w:u w:val="single"/>
        </w:rPr>
      </w:pPr>
      <w:r w:rsidRPr="00B379F6">
        <w:rPr>
          <w:rFonts w:ascii="David" w:hAnsi="David" w:cs="David" w:hint="cs"/>
          <w:b/>
          <w:bCs/>
          <w:sz w:val="24"/>
          <w:szCs w:val="24"/>
          <w:rtl/>
        </w:rPr>
        <w:t xml:space="preserve">משכך, ציין מר הוניג (ר' ס' 7 לחלק השאלות והתשובות בנ/9) כי המצב אותו תיאר הנאשם בפני המדובב (1. לחיצה על תפס המחסנית; 2. הוצאת המחסנית "מעט ממקומה" בניסיון שבאמצעות פעולה זו לא ייגרף כדור לבית הבליעה; 3. דריכה; 4. לחיצה על ההדק; 5. ירי) </w:t>
      </w:r>
      <w:r w:rsidRPr="002F5AE6">
        <w:rPr>
          <w:rFonts w:ascii="David" w:hAnsi="David" w:cs="David" w:hint="cs"/>
          <w:b/>
          <w:bCs/>
          <w:sz w:val="24"/>
          <w:szCs w:val="24"/>
          <w:u w:val="single"/>
          <w:rtl/>
        </w:rPr>
        <w:t xml:space="preserve">אינו תרחיש שיכול להתרחש במציאות. </w:t>
      </w:r>
    </w:p>
    <w:p w:rsidR="00272CAC" w:rsidRPr="00F85C1D"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F85C1D">
        <w:rPr>
          <w:rFonts w:ascii="David" w:hAnsi="David" w:cs="David" w:hint="cs"/>
          <w:sz w:val="24"/>
          <w:szCs w:val="24"/>
          <w:rtl/>
        </w:rPr>
        <w:t xml:space="preserve">בהמשך לאמור לעיל ציין מר הוניג שלא ניתן (ואני אדייק ואציין, שלכל הפחות קשה) להבחין בין מחסנית </w:t>
      </w:r>
      <w:r>
        <w:rPr>
          <w:rFonts w:ascii="David" w:hAnsi="David" w:cs="David" w:hint="cs"/>
          <w:sz w:val="24"/>
          <w:szCs w:val="24"/>
          <w:rtl/>
        </w:rPr>
        <w:t xml:space="preserve">(שלא הוצאה ממקומה) שהיא תפוסה בתפס המחסנית </w:t>
      </w:r>
      <w:r w:rsidRPr="00F85C1D">
        <w:rPr>
          <w:rFonts w:ascii="David" w:hAnsi="David" w:cs="David" w:hint="cs"/>
          <w:sz w:val="24"/>
          <w:szCs w:val="24"/>
          <w:rtl/>
        </w:rPr>
        <w:t xml:space="preserve">לכזו שאינה תפוסה, מבלי לבדוק את תפס המחסנית (ר' הדגמת העד בנדון בסרטון השני, סביבות נומרטור 01:00; וכן התרחיש הראשון בנ/9). </w:t>
      </w:r>
    </w:p>
    <w:p w:rsidR="00272CAC" w:rsidRPr="00F85C1D"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לאור האמור לעיל, ניסה מר הוניג להציג תרחישים שעשויים להשתלב, </w:t>
      </w:r>
      <w:r w:rsidRPr="002F5AE6">
        <w:rPr>
          <w:rFonts w:ascii="David" w:hAnsi="David" w:cs="David" w:hint="cs"/>
          <w:sz w:val="24"/>
          <w:szCs w:val="24"/>
          <w:u w:val="single"/>
          <w:rtl/>
        </w:rPr>
        <w:t>גם אם לא באופן מלא</w:t>
      </w:r>
      <w:r>
        <w:rPr>
          <w:rFonts w:ascii="David" w:hAnsi="David" w:cs="David" w:hint="cs"/>
          <w:sz w:val="24"/>
          <w:szCs w:val="24"/>
          <w:u w:val="single"/>
          <w:rtl/>
        </w:rPr>
        <w:t xml:space="preserve"> וגם אם באופן חלקי</w:t>
      </w:r>
      <w:r>
        <w:rPr>
          <w:rFonts w:ascii="David" w:hAnsi="David" w:cs="David" w:hint="cs"/>
          <w:sz w:val="24"/>
          <w:szCs w:val="24"/>
          <w:rtl/>
        </w:rPr>
        <w:t>, עם שהתרחש באירוע וגם עם גרסת הנאשם בפני המדובב..</w:t>
      </w:r>
    </w:p>
    <w:p w:rsidR="00272CAC" w:rsidRPr="002F5AE6"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lastRenderedPageBreak/>
        <w:t>בהקשר זה וכ"מבוא" לניסיונותיו לתאר תרחישים אפשריים</w:t>
      </w:r>
      <w:r w:rsidRPr="00F85C1D">
        <w:rPr>
          <w:rFonts w:ascii="David" w:hAnsi="David" w:cs="David" w:hint="cs"/>
          <w:sz w:val="24"/>
          <w:szCs w:val="24"/>
          <w:rtl/>
        </w:rPr>
        <w:t xml:space="preserve">, הבחין </w:t>
      </w:r>
      <w:r>
        <w:rPr>
          <w:rFonts w:ascii="David" w:hAnsi="David" w:cs="David" w:hint="cs"/>
          <w:sz w:val="24"/>
          <w:szCs w:val="24"/>
          <w:rtl/>
        </w:rPr>
        <w:t xml:space="preserve">מר הוניג </w:t>
      </w:r>
      <w:r w:rsidRPr="00F85C1D">
        <w:rPr>
          <w:rFonts w:ascii="David" w:hAnsi="David" w:cs="David" w:hint="cs"/>
          <w:sz w:val="24"/>
          <w:szCs w:val="24"/>
          <w:rtl/>
        </w:rPr>
        <w:t xml:space="preserve">בין </w:t>
      </w:r>
      <w:r w:rsidRPr="00B379F6">
        <w:rPr>
          <w:rFonts w:ascii="David" w:hAnsi="David" w:cs="David" w:hint="cs"/>
          <w:sz w:val="24"/>
          <w:szCs w:val="24"/>
          <w:u w:val="single"/>
          <w:rtl/>
        </w:rPr>
        <w:t>דריכה מלאה</w:t>
      </w:r>
      <w:r w:rsidRPr="00F85C1D">
        <w:rPr>
          <w:rFonts w:ascii="David" w:hAnsi="David" w:cs="David" w:hint="cs"/>
          <w:sz w:val="24"/>
          <w:szCs w:val="24"/>
          <w:rtl/>
        </w:rPr>
        <w:t xml:space="preserve"> אשר גורפת כדור מהמחסנית (באם </w:t>
      </w:r>
      <w:r>
        <w:rPr>
          <w:rFonts w:ascii="David" w:hAnsi="David" w:cs="David" w:hint="cs"/>
          <w:sz w:val="24"/>
          <w:szCs w:val="24"/>
          <w:rtl/>
        </w:rPr>
        <w:t xml:space="preserve">כמובן </w:t>
      </w:r>
      <w:r w:rsidRPr="00F85C1D">
        <w:rPr>
          <w:rFonts w:ascii="David" w:hAnsi="David" w:cs="David" w:hint="cs"/>
          <w:sz w:val="24"/>
          <w:szCs w:val="24"/>
          <w:rtl/>
        </w:rPr>
        <w:t xml:space="preserve">היא תפוסה בתפס המחסנית), ו/או פולטת כדור מבית הבליעה; לבין מה שכינה </w:t>
      </w:r>
      <w:r w:rsidRPr="00B379F6">
        <w:rPr>
          <w:rFonts w:ascii="David" w:hAnsi="David" w:cs="David" w:hint="cs"/>
          <w:sz w:val="24"/>
          <w:szCs w:val="24"/>
          <w:u w:val="single"/>
          <w:rtl/>
        </w:rPr>
        <w:t>"דריכה חלבית"</w:t>
      </w:r>
      <w:r>
        <w:rPr>
          <w:rFonts w:ascii="David" w:hAnsi="David" w:cs="David" w:hint="cs"/>
          <w:sz w:val="24"/>
          <w:szCs w:val="24"/>
          <w:rtl/>
        </w:rPr>
        <w:t>,</w:t>
      </w:r>
      <w:r w:rsidRPr="00F85C1D">
        <w:rPr>
          <w:rFonts w:ascii="David" w:hAnsi="David" w:cs="David" w:hint="cs"/>
          <w:sz w:val="24"/>
          <w:szCs w:val="24"/>
          <w:rtl/>
        </w:rPr>
        <w:t xml:space="preserve"> שהיא דריכה </w:t>
      </w:r>
      <w:r>
        <w:rPr>
          <w:rFonts w:ascii="David" w:hAnsi="David" w:cs="David" w:hint="cs"/>
          <w:sz w:val="24"/>
          <w:szCs w:val="24"/>
          <w:rtl/>
        </w:rPr>
        <w:t xml:space="preserve">חלקית / </w:t>
      </w:r>
      <w:r w:rsidRPr="00F85C1D">
        <w:rPr>
          <w:rFonts w:ascii="David" w:hAnsi="David" w:cs="David" w:hint="cs"/>
          <w:sz w:val="24"/>
          <w:szCs w:val="24"/>
          <w:rtl/>
        </w:rPr>
        <w:t xml:space="preserve">לא מלאה שאינה מבצעת את הפעולות לעיל. </w:t>
      </w:r>
    </w:p>
    <w:p w:rsidR="00272CAC" w:rsidRPr="00F85C1D"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sidRPr="00F85C1D">
        <w:rPr>
          <w:rFonts w:ascii="David" w:hAnsi="David" w:cs="David" w:hint="cs"/>
          <w:sz w:val="24"/>
          <w:szCs w:val="24"/>
          <w:rtl/>
        </w:rPr>
        <w:t xml:space="preserve">עוד בהקשר לדריכת הנשק, הדגים מר הוניג אפשרות ולפיה </w:t>
      </w:r>
      <w:r>
        <w:rPr>
          <w:rFonts w:ascii="David" w:hAnsi="David" w:cs="David" w:hint="cs"/>
          <w:sz w:val="24"/>
          <w:szCs w:val="24"/>
          <w:rtl/>
        </w:rPr>
        <w:t xml:space="preserve">האקדח יידרך </w:t>
      </w:r>
      <w:r w:rsidRPr="00F85C1D">
        <w:rPr>
          <w:rFonts w:ascii="David" w:hAnsi="David" w:cs="David" w:hint="cs"/>
          <w:sz w:val="24"/>
          <w:szCs w:val="24"/>
          <w:rtl/>
        </w:rPr>
        <w:t>כאשר מכניסים אותו לפונדה</w:t>
      </w:r>
      <w:r>
        <w:rPr>
          <w:rFonts w:ascii="David" w:hAnsi="David" w:cs="David" w:hint="cs"/>
          <w:sz w:val="24"/>
          <w:szCs w:val="24"/>
          <w:rtl/>
        </w:rPr>
        <w:t>, וזאת כאשר הצינה "נתפסת" בפונדה</w:t>
      </w:r>
      <w:r w:rsidRPr="00F85C1D">
        <w:rPr>
          <w:rFonts w:ascii="David" w:hAnsi="David" w:cs="David" w:hint="cs"/>
          <w:sz w:val="24"/>
          <w:szCs w:val="24"/>
          <w:rtl/>
        </w:rPr>
        <w:t>. צוין בהקשר זה</w:t>
      </w:r>
      <w:r>
        <w:rPr>
          <w:rFonts w:ascii="David" w:hAnsi="David" w:cs="David" w:hint="cs"/>
          <w:sz w:val="24"/>
          <w:szCs w:val="24"/>
          <w:rtl/>
        </w:rPr>
        <w:t>,</w:t>
      </w:r>
      <w:r w:rsidRPr="00F85C1D">
        <w:rPr>
          <w:rFonts w:ascii="David" w:hAnsi="David" w:cs="David" w:hint="cs"/>
          <w:sz w:val="24"/>
          <w:szCs w:val="24"/>
          <w:rtl/>
        </w:rPr>
        <w:t xml:space="preserve"> שכדי למנוע את המצב רצוי להניח את האגודל על החלק האחורי של הצינה (ר' הסרטון השני נומרטור 06:25 עד 07:30 וכן סרטון מס' 1 בנ/8). </w:t>
      </w:r>
    </w:p>
    <w:p w:rsidR="00272CAC" w:rsidRPr="00F85C1D" w:rsidRDefault="00272CAC" w:rsidP="00272CAC">
      <w:pPr>
        <w:pStyle w:val="ac"/>
        <w:rPr>
          <w:rFonts w:ascii="David" w:hAnsi="David" w:cs="David"/>
          <w:sz w:val="24"/>
          <w:szCs w:val="24"/>
          <w:rtl/>
        </w:rPr>
      </w:pPr>
    </w:p>
    <w:p w:rsidR="00272CAC" w:rsidRPr="00F85C1D" w:rsidRDefault="00272CAC" w:rsidP="00272CAC">
      <w:pPr>
        <w:pStyle w:val="ac"/>
        <w:spacing w:after="0" w:line="360" w:lineRule="auto"/>
        <w:ind w:left="360"/>
        <w:jc w:val="both"/>
        <w:rPr>
          <w:rFonts w:ascii="David" w:hAnsi="David" w:cs="David"/>
          <w:sz w:val="24"/>
          <w:szCs w:val="24"/>
          <w:rtl/>
        </w:rPr>
      </w:pPr>
      <w:r w:rsidRPr="00F85C1D">
        <w:rPr>
          <w:rFonts w:ascii="David" w:hAnsi="David" w:cs="David" w:hint="cs"/>
          <w:sz w:val="24"/>
          <w:szCs w:val="24"/>
          <w:rtl/>
        </w:rPr>
        <w:t>העד אישר כי דריכה שכזו אינה מצב "טבעי"</w:t>
      </w:r>
      <w:r>
        <w:rPr>
          <w:rFonts w:ascii="David" w:hAnsi="David" w:cs="David" w:hint="cs"/>
          <w:sz w:val="24"/>
          <w:szCs w:val="24"/>
          <w:rtl/>
        </w:rPr>
        <w:t>,</w:t>
      </w:r>
      <w:r w:rsidRPr="00F85C1D">
        <w:rPr>
          <w:rFonts w:ascii="David" w:hAnsi="David" w:cs="David" w:hint="cs"/>
          <w:sz w:val="24"/>
          <w:szCs w:val="24"/>
          <w:rtl/>
        </w:rPr>
        <w:t xml:space="preserve"> והיא אף קשה באופן יחסי לביצוע</w:t>
      </w:r>
      <w:r>
        <w:rPr>
          <w:rFonts w:ascii="David" w:hAnsi="David" w:cs="David" w:hint="cs"/>
          <w:sz w:val="24"/>
          <w:szCs w:val="24"/>
          <w:rtl/>
        </w:rPr>
        <w:t>. עם זאת, העד ה</w:t>
      </w:r>
      <w:r w:rsidRPr="00F85C1D">
        <w:rPr>
          <w:rFonts w:ascii="David" w:hAnsi="David" w:cs="David" w:hint="cs"/>
          <w:sz w:val="24"/>
          <w:szCs w:val="24"/>
          <w:rtl/>
        </w:rPr>
        <w:t>וסיף כי קיים סיכוי/סיכון למצב אפשרי שכזה (סרטון שני, נומרטור 09:00 עד 10:00).</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בהמשך לאמור לעיל תיאר העד (בעיקר בנ/9) מספר תרחישים הנגזרים מהפרמטרים הבסיסיים הבאים: </w:t>
      </w:r>
    </w:p>
    <w:p w:rsidR="00272CAC" w:rsidRPr="00D75804"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ראשית, מה "מצב המוצא" של הנשק </w:t>
      </w:r>
      <w:r>
        <w:rPr>
          <w:rFonts w:ascii="David" w:hAnsi="David" w:cs="David"/>
          <w:sz w:val="24"/>
          <w:szCs w:val="24"/>
          <w:rtl/>
        </w:rPr>
        <w:t>–</w:t>
      </w:r>
      <w:r>
        <w:rPr>
          <w:rFonts w:ascii="David" w:hAnsi="David" w:cs="David" w:hint="cs"/>
          <w:sz w:val="24"/>
          <w:szCs w:val="24"/>
          <w:rtl/>
        </w:rPr>
        <w:t xml:space="preserve"> האם יש או אין כדור בבית הבליעה;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שנית, מה מצב המחסנית </w:t>
      </w:r>
      <w:r>
        <w:rPr>
          <w:rFonts w:ascii="David" w:hAnsi="David" w:cs="David"/>
          <w:sz w:val="24"/>
          <w:szCs w:val="24"/>
          <w:rtl/>
        </w:rPr>
        <w:t>–</w:t>
      </w:r>
      <w:r>
        <w:rPr>
          <w:rFonts w:ascii="David" w:hAnsi="David" w:cs="David" w:hint="cs"/>
          <w:sz w:val="24"/>
          <w:szCs w:val="24"/>
          <w:rtl/>
        </w:rPr>
        <w:t xml:space="preserve"> תפוסה בתפס המחסנית או לא;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שלישית,  איזו דריכה מבוצעת </w:t>
      </w:r>
      <w:r>
        <w:rPr>
          <w:rFonts w:ascii="David" w:hAnsi="David" w:cs="David"/>
          <w:sz w:val="24"/>
          <w:szCs w:val="24"/>
          <w:rtl/>
        </w:rPr>
        <w:t>–</w:t>
      </w:r>
      <w:r>
        <w:rPr>
          <w:rFonts w:ascii="David" w:hAnsi="David" w:cs="David" w:hint="cs"/>
          <w:sz w:val="24"/>
          <w:szCs w:val="24"/>
          <w:rtl/>
        </w:rPr>
        <w:t xml:space="preserve"> מלאה או "חלבית" (חלקית).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שלושת הפרמטרים הבסיסיים לעיל מביאים מטבע הדברים לאפשרויות שונות, ואביא שתיים מהן </w:t>
      </w:r>
      <w:r>
        <w:rPr>
          <w:rFonts w:ascii="David" w:hAnsi="David" w:cs="David"/>
          <w:sz w:val="24"/>
          <w:szCs w:val="24"/>
          <w:rtl/>
        </w:rPr>
        <w:t>–</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הראשונה שהיא גם ה"סטנדרטית" - מצב המוצא הוא שאין כדור בבית הבליעה; המחסנית תפוסה; ומבוצעת דריכה מלאה. במצב זה כדור ייכנס לבית הבליעה, ההדק יעבור למצב קדמי ולחיצה ארוכה עליו תביא לירי;</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השניה, שההגנה כיוונה לה - מצב המוצא הוא שיש כדור בבית הבליעה (ההגנה העלתה כאפשרות שהכדור הגיע לבית הבליעה כתוצאה מהכנסה קודמת של האקדח לפונדה שבמהלכה האקדח נדרך ללא שהנאשם היה מודע לכך). בשלב זה מבוצעת דריכה "חלבית" בלבד (ולכן הכדור לא נחלץ מבית הבליעה); לחיצה ארוכה על ההדק הנמצא במצב קדמי תביא לירי;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lastRenderedPageBreak/>
        <w:t xml:space="preserve">לאפשרויות לעיל ולכל האפשרויות הנוספות נלוו מצבי משנה, שגם אליהם התייחס מר הוניג </w:t>
      </w:r>
      <w:r>
        <w:rPr>
          <w:rFonts w:ascii="David" w:hAnsi="David" w:cs="David"/>
          <w:sz w:val="24"/>
          <w:szCs w:val="24"/>
          <w:rtl/>
        </w:rPr>
        <w:t>–</w:t>
      </w:r>
      <w:r>
        <w:rPr>
          <w:rFonts w:ascii="David" w:hAnsi="David" w:cs="David" w:hint="cs"/>
          <w:sz w:val="24"/>
          <w:szCs w:val="24"/>
          <w:rtl/>
        </w:rPr>
        <w:t xml:space="preserve"> אם במסמך שערך ואם במסגרת חקירתו הנגדית - והגם שאינן נוגעות ל"תוצאה הסופית" באם יתבצע ירי או לא, הן רלוונטיות בצורה זו או אחרת לענייננו.</w:t>
      </w:r>
    </w:p>
    <w:p w:rsidR="00272CAC"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כך, הדגים מר הוניג מצבים שכיחים שבתפעול רגיל של האקדח, שחרור תפס המחסנית יביא לנפילת המחסנית על הארץ. מר הוניג ציין כי זהו המצב השכיח (סרטון שני, נומרטור 15:30);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עם זאת העד גם הפנה לאפשרויות נוספות, גם אם פחות שכיחות, במסגרתן לחיצה על תפס המחסנית "רק" תביא לשחרור המחסנית מהתפס ללא יציאת או נפילת המחסנית מבאר המחסנית. ואלו אותם מצבים (אחד או יותר מהם): החזקת האקדח במצב אופקי / תפיסת החלק התחתון של המחסנית (עקב המחסנית) באמצעות חלק מכף היד / חיכוך בין המחסנית לבית המחסנית, ועוד.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בנוסף, הפנה מר הוניג לנתונים שעשויים להשפיע על האפשרות שהמחסנית תיפול או לא, כגון מספר הכדורים במחסנית ומשקלם, בלאי המחסנית, ניקיון ושימון האקדח והמחסנית, ועוד. </w:t>
      </w:r>
    </w:p>
    <w:p w:rsidR="00272CAC" w:rsidRDefault="00272CAC" w:rsidP="00272CAC">
      <w:pPr>
        <w:spacing w:line="360" w:lineRule="auto"/>
        <w:jc w:val="both"/>
        <w:rPr>
          <w:rFonts w:ascii="David" w:hAnsi="David"/>
          <w:rtl/>
        </w:rPr>
      </w:pPr>
    </w:p>
    <w:p w:rsidR="00272CAC" w:rsidRPr="009A6DE6" w:rsidRDefault="00272CAC" w:rsidP="00272CAC">
      <w:pPr>
        <w:pStyle w:val="ac"/>
        <w:spacing w:after="0" w:line="360" w:lineRule="auto"/>
        <w:ind w:left="360"/>
        <w:jc w:val="both"/>
        <w:rPr>
          <w:rFonts w:ascii="David" w:hAnsi="David" w:cs="David"/>
          <w:b/>
          <w:bCs/>
          <w:sz w:val="28"/>
          <w:szCs w:val="28"/>
          <w:u w:val="single"/>
        </w:rPr>
      </w:pPr>
      <w:r w:rsidRPr="009A6DE6">
        <w:rPr>
          <w:rFonts w:ascii="David" w:hAnsi="David" w:cs="David"/>
          <w:b/>
          <w:bCs/>
          <w:sz w:val="28"/>
          <w:szCs w:val="28"/>
          <w:u w:val="single"/>
          <w:rtl/>
        </w:rPr>
        <w:t>פרק ג' - דיון ומסקנות</w:t>
      </w:r>
    </w:p>
    <w:p w:rsidR="00272CAC" w:rsidRPr="00B06C6C" w:rsidRDefault="00272CAC" w:rsidP="00272CAC">
      <w:pPr>
        <w:pStyle w:val="ac"/>
        <w:numPr>
          <w:ilvl w:val="0"/>
          <w:numId w:val="14"/>
        </w:numPr>
        <w:spacing w:after="0" w:line="360" w:lineRule="auto"/>
        <w:jc w:val="both"/>
        <w:rPr>
          <w:rFonts w:ascii="David" w:hAnsi="David" w:cs="David"/>
          <w:sz w:val="24"/>
          <w:szCs w:val="24"/>
        </w:rPr>
      </w:pPr>
      <w:r w:rsidRPr="000C784F">
        <w:rPr>
          <w:rFonts w:ascii="David" w:hAnsi="David" w:cs="David" w:hint="cs"/>
          <w:sz w:val="24"/>
          <w:szCs w:val="24"/>
          <w:rtl/>
        </w:rPr>
        <w:t xml:space="preserve">במוקד ענייננו שאלה </w:t>
      </w:r>
      <w:r>
        <w:rPr>
          <w:rFonts w:ascii="David" w:hAnsi="David" w:cs="David" w:hint="cs"/>
          <w:sz w:val="24"/>
          <w:szCs w:val="24"/>
          <w:rtl/>
        </w:rPr>
        <w:t xml:space="preserve">מרכזית </w:t>
      </w:r>
      <w:r w:rsidRPr="000C784F">
        <w:rPr>
          <w:rFonts w:ascii="David" w:hAnsi="David" w:cs="David" w:hint="cs"/>
          <w:sz w:val="24"/>
          <w:szCs w:val="24"/>
          <w:u w:val="single"/>
          <w:rtl/>
        </w:rPr>
        <w:t>והיא מה היה היסוד הנפשי שהתקיים בנאשם בעת שירה למוות במנוח</w:t>
      </w:r>
      <w:r w:rsidRPr="000C784F">
        <w:rPr>
          <w:rFonts w:ascii="David" w:hAnsi="David" w:cs="David" w:hint="cs"/>
          <w:sz w:val="24"/>
          <w:szCs w:val="24"/>
          <w:rtl/>
        </w:rPr>
        <w:t xml:space="preserve">. בטרם נפנה לשאלה </w:t>
      </w:r>
      <w:r>
        <w:rPr>
          <w:rFonts w:ascii="David" w:hAnsi="David" w:cs="David" w:hint="cs"/>
          <w:sz w:val="24"/>
          <w:szCs w:val="24"/>
          <w:rtl/>
        </w:rPr>
        <w:t>זו</w:t>
      </w:r>
      <w:r w:rsidRPr="000C784F">
        <w:rPr>
          <w:rFonts w:ascii="David" w:hAnsi="David" w:cs="David" w:hint="cs"/>
          <w:sz w:val="24"/>
          <w:szCs w:val="24"/>
          <w:rtl/>
        </w:rPr>
        <w:t xml:space="preserve"> </w:t>
      </w:r>
      <w:r w:rsidRPr="00B06C6C">
        <w:rPr>
          <w:rFonts w:ascii="David" w:hAnsi="David" w:cs="David" w:hint="cs"/>
          <w:sz w:val="24"/>
          <w:szCs w:val="24"/>
          <w:rtl/>
        </w:rPr>
        <w:t>אנסה</w:t>
      </w:r>
      <w:r>
        <w:rPr>
          <w:rFonts w:ascii="David" w:hAnsi="David" w:cs="David" w:hint="cs"/>
          <w:sz w:val="24"/>
          <w:szCs w:val="24"/>
          <w:rtl/>
        </w:rPr>
        <w:t xml:space="preserve"> ל</w:t>
      </w:r>
      <w:r w:rsidRPr="000C784F">
        <w:rPr>
          <w:rFonts w:ascii="David" w:hAnsi="David" w:cs="David" w:hint="cs"/>
          <w:sz w:val="24"/>
          <w:szCs w:val="24"/>
          <w:rtl/>
        </w:rPr>
        <w:t xml:space="preserve">קבוע ממצאי עובדה באשר </w:t>
      </w:r>
      <w:r w:rsidRPr="000C784F">
        <w:rPr>
          <w:rFonts w:ascii="David" w:hAnsi="David" w:cs="David" w:hint="cs"/>
          <w:sz w:val="24"/>
          <w:szCs w:val="24"/>
          <w:u w:val="single"/>
          <w:rtl/>
        </w:rPr>
        <w:t>למעשי</w:t>
      </w:r>
      <w:r>
        <w:rPr>
          <w:rFonts w:ascii="David" w:hAnsi="David" w:cs="David" w:hint="cs"/>
          <w:sz w:val="24"/>
          <w:szCs w:val="24"/>
          <w:rtl/>
        </w:rPr>
        <w:t xml:space="preserve"> הנאשם עובר לירי </w:t>
      </w:r>
      <w:r w:rsidRPr="00B06C6C">
        <w:rPr>
          <w:rFonts w:ascii="David" w:hAnsi="David" w:cs="David" w:hint="cs"/>
          <w:sz w:val="24"/>
          <w:szCs w:val="24"/>
          <w:rtl/>
        </w:rPr>
        <w:t xml:space="preserve">במנוח ולפעולות שביצע בנשק, שכן אלה יכול וישפיעו על מסקנתי בשאלה העיקרית. </w:t>
      </w:r>
    </w:p>
    <w:p w:rsidR="00272CAC" w:rsidRPr="00D75804"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כל שיש לפנינו הן גרסאותיו המצומצמות והמשתנות של הנאשם; ממצאי הזירה; וידיעותינו (כפי שהוכחו על ידי הצדדים) אודות דרך ואופן פעולת האקדח. גרסאות הנאשם אינן בהכרח אמת צרופה כפי שכבר למדנו, ואתייחס לכך גם בהמשך.</w:t>
      </w:r>
    </w:p>
    <w:p w:rsidR="00272CAC" w:rsidRPr="003A672D"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1D6CA5">
        <w:rPr>
          <w:rFonts w:ascii="David" w:hAnsi="David" w:cs="David" w:hint="cs"/>
          <w:sz w:val="24"/>
          <w:szCs w:val="24"/>
          <w:rtl/>
        </w:rPr>
        <w:t>הן המאשימה והן ההגנה הסתמכו בחלקים נכבדים על הדברים שמסר הנאשם למדובב</w:t>
      </w:r>
      <w:r>
        <w:rPr>
          <w:rFonts w:ascii="David" w:hAnsi="David" w:cs="David" w:hint="cs"/>
          <w:sz w:val="24"/>
          <w:szCs w:val="24"/>
          <w:rtl/>
        </w:rPr>
        <w:t xml:space="preserve"> - </w:t>
      </w:r>
      <w:r w:rsidRPr="001D6CA5">
        <w:rPr>
          <w:rFonts w:ascii="David" w:hAnsi="David" w:cs="David" w:hint="cs"/>
          <w:sz w:val="24"/>
          <w:szCs w:val="24"/>
          <w:rtl/>
        </w:rPr>
        <w:t xml:space="preserve"> </w:t>
      </w:r>
    </w:p>
    <w:p w:rsidR="00272CAC" w:rsidRPr="002B699B"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1D6CA5">
        <w:rPr>
          <w:rFonts w:ascii="David" w:hAnsi="David" w:cs="David" w:hint="cs"/>
          <w:sz w:val="24"/>
          <w:szCs w:val="24"/>
          <w:rtl/>
        </w:rPr>
        <w:t xml:space="preserve">כפי שצוין לעיל, </w:t>
      </w:r>
      <w:r>
        <w:rPr>
          <w:rFonts w:ascii="David" w:hAnsi="David" w:cs="David" w:hint="cs"/>
          <w:sz w:val="24"/>
          <w:szCs w:val="24"/>
          <w:rtl/>
        </w:rPr>
        <w:t>מיד לאחר האירוע ו</w:t>
      </w:r>
      <w:r w:rsidRPr="001D6CA5">
        <w:rPr>
          <w:rFonts w:ascii="David" w:hAnsi="David" w:cs="David" w:hint="cs"/>
          <w:sz w:val="24"/>
          <w:szCs w:val="24"/>
          <w:rtl/>
        </w:rPr>
        <w:t xml:space="preserve">במהלך כל חקירותיו במח"ש טען הנאשם לאליבי בעת האירוע ולפיו בעת שהמנוח נורה, הוא (הנאשם) שהה בשירותים. </w:t>
      </w:r>
      <w:r>
        <w:rPr>
          <w:rFonts w:ascii="David" w:hAnsi="David" w:cs="David" w:hint="cs"/>
          <w:sz w:val="24"/>
          <w:szCs w:val="24"/>
          <w:rtl/>
        </w:rPr>
        <w:t>מדובר בגרסה שקרית שאינה מסייעת לדיוננו כעת.</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הגרסה </w:t>
      </w:r>
      <w:r w:rsidRPr="001D6CA5">
        <w:rPr>
          <w:rFonts w:ascii="David" w:hAnsi="David" w:cs="David" w:hint="cs"/>
          <w:sz w:val="24"/>
          <w:szCs w:val="24"/>
          <w:rtl/>
        </w:rPr>
        <w:t xml:space="preserve">היחידה </w:t>
      </w:r>
      <w:r>
        <w:rPr>
          <w:rFonts w:ascii="David" w:hAnsi="David" w:cs="David" w:hint="cs"/>
          <w:sz w:val="24"/>
          <w:szCs w:val="24"/>
          <w:rtl/>
        </w:rPr>
        <w:t xml:space="preserve">שמסר הנאשם בשלב החקירה וממקמת אותו בזירה היא זו שמסר למדובב. בשיחותיו עם המדובב אמר הנאשם, בין היתר: </w:t>
      </w:r>
      <w:r w:rsidRPr="001D6CA5">
        <w:rPr>
          <w:rFonts w:ascii="David" w:hAnsi="David" w:cs="David" w:hint="cs"/>
          <w:b/>
          <w:bCs/>
          <w:sz w:val="24"/>
          <w:szCs w:val="24"/>
          <w:rtl/>
        </w:rPr>
        <w:t>"... הוצאתי מחסנית, דרכתי, במחסנית היה לי ת'רווח הזה גררה כדור .."</w:t>
      </w:r>
      <w:r>
        <w:rPr>
          <w:rFonts w:ascii="David" w:hAnsi="David" w:cs="David" w:hint="cs"/>
          <w:sz w:val="24"/>
          <w:szCs w:val="24"/>
          <w:rtl/>
        </w:rPr>
        <w:t xml:space="preserve"> (עמ' 30-31).</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b/>
          <w:bCs/>
          <w:sz w:val="24"/>
          <w:szCs w:val="24"/>
          <w:rtl/>
        </w:rPr>
      </w:pPr>
      <w:r w:rsidRPr="001D6CA5">
        <w:rPr>
          <w:rFonts w:ascii="David" w:hAnsi="David" w:cs="David" w:hint="cs"/>
          <w:sz w:val="24"/>
          <w:szCs w:val="24"/>
          <w:rtl/>
        </w:rPr>
        <w:t>בהתאם ל</w:t>
      </w:r>
      <w:r>
        <w:rPr>
          <w:rFonts w:ascii="David" w:hAnsi="David" w:cs="David" w:hint="cs"/>
          <w:sz w:val="24"/>
          <w:szCs w:val="24"/>
          <w:rtl/>
        </w:rPr>
        <w:t>גרסת הנאשם לעיל</w:t>
      </w:r>
      <w:r w:rsidRPr="001D6CA5">
        <w:rPr>
          <w:rFonts w:ascii="David" w:hAnsi="David" w:cs="David" w:hint="cs"/>
          <w:sz w:val="24"/>
          <w:szCs w:val="24"/>
          <w:rtl/>
        </w:rPr>
        <w:t xml:space="preserve"> נוסח כתב האישום </w:t>
      </w:r>
      <w:r>
        <w:rPr>
          <w:rFonts w:ascii="David" w:hAnsi="David" w:cs="David" w:hint="cs"/>
          <w:sz w:val="24"/>
          <w:szCs w:val="24"/>
          <w:rtl/>
        </w:rPr>
        <w:t xml:space="preserve">ונטען </w:t>
      </w:r>
      <w:r w:rsidRPr="001D6CA5">
        <w:rPr>
          <w:rFonts w:ascii="David" w:hAnsi="David" w:cs="David" w:hint="cs"/>
          <w:sz w:val="24"/>
          <w:szCs w:val="24"/>
          <w:rtl/>
        </w:rPr>
        <w:t>ש:</w:t>
      </w:r>
      <w:r w:rsidRPr="001D6CA5">
        <w:rPr>
          <w:rFonts w:ascii="David" w:hAnsi="David" w:cs="David" w:hint="cs"/>
          <w:b/>
          <w:bCs/>
          <w:sz w:val="24"/>
          <w:szCs w:val="24"/>
          <w:rtl/>
        </w:rPr>
        <w:t>"..</w:t>
      </w:r>
      <w:r w:rsidRPr="001D6CA5">
        <w:rPr>
          <w:rFonts w:ascii="David" w:hAnsi="David" w:cs="David"/>
          <w:b/>
          <w:bCs/>
          <w:sz w:val="24"/>
          <w:szCs w:val="24"/>
          <w:rtl/>
        </w:rPr>
        <w:t>הנאשם לחץ על תפס המחסנית, הוציאה מעט ממקומה, בניסיון שכך לא ייגרף כדור אל בית הבליעה, ומיד דרך את האקדח.</w:t>
      </w:r>
      <w:r w:rsidRPr="001D6CA5">
        <w:rPr>
          <w:rFonts w:ascii="David" w:hAnsi="David" w:cs="David" w:hint="cs"/>
          <w:b/>
          <w:bCs/>
          <w:sz w:val="24"/>
          <w:szCs w:val="24"/>
          <w:rtl/>
        </w:rPr>
        <w:t>..</w:t>
      </w:r>
      <w:r w:rsidRPr="001D6CA5">
        <w:rPr>
          <w:rFonts w:ascii="David" w:hAnsi="David" w:cs="David"/>
          <w:b/>
          <w:bCs/>
          <w:sz w:val="24"/>
          <w:szCs w:val="24"/>
          <w:rtl/>
        </w:rPr>
        <w:t xml:space="preserve"> </w:t>
      </w:r>
      <w:r w:rsidRPr="001D6CA5">
        <w:rPr>
          <w:rFonts w:ascii="David" w:hAnsi="David" w:cs="David" w:hint="cs"/>
          <w:b/>
          <w:bCs/>
          <w:sz w:val="24"/>
          <w:szCs w:val="24"/>
          <w:rtl/>
        </w:rPr>
        <w:t>"</w:t>
      </w:r>
      <w:r>
        <w:rPr>
          <w:rFonts w:ascii="David" w:hAnsi="David" w:cs="David" w:hint="cs"/>
          <w:b/>
          <w:bCs/>
          <w:sz w:val="24"/>
          <w:szCs w:val="24"/>
          <w:rtl/>
        </w:rPr>
        <w:t xml:space="preserve">. </w:t>
      </w:r>
      <w:r w:rsidRPr="002B699B">
        <w:rPr>
          <w:rFonts w:ascii="David" w:hAnsi="David" w:cs="David" w:hint="cs"/>
          <w:sz w:val="24"/>
          <w:szCs w:val="24"/>
          <w:rtl/>
        </w:rPr>
        <w:t xml:space="preserve">במילים אחרות, אליבא למאשימה הנאשם לחץ על תפס המחסנית והוציאה מעט </w:t>
      </w:r>
      <w:r>
        <w:rPr>
          <w:rFonts w:ascii="David" w:hAnsi="David" w:cs="David" w:hint="cs"/>
          <w:sz w:val="24"/>
          <w:szCs w:val="24"/>
          <w:rtl/>
        </w:rPr>
        <w:t xml:space="preserve">ממקומה, </w:t>
      </w:r>
      <w:r w:rsidRPr="00CD7122">
        <w:rPr>
          <w:rFonts w:ascii="David" w:hAnsi="David" w:cs="David" w:hint="cs"/>
          <w:sz w:val="24"/>
          <w:szCs w:val="24"/>
          <w:u w:val="single"/>
          <w:rtl/>
        </w:rPr>
        <w:t>ורק לאחר מכן</w:t>
      </w:r>
      <w:r>
        <w:rPr>
          <w:rFonts w:ascii="David" w:hAnsi="David" w:cs="David" w:hint="cs"/>
          <w:sz w:val="24"/>
          <w:szCs w:val="24"/>
          <w:rtl/>
        </w:rPr>
        <w:t xml:space="preserve"> דרך את הנשק.</w:t>
      </w:r>
    </w:p>
    <w:p w:rsidR="00272CAC" w:rsidRDefault="00272CAC" w:rsidP="00272CAC">
      <w:pPr>
        <w:pStyle w:val="ac"/>
        <w:spacing w:after="0" w:line="360" w:lineRule="auto"/>
        <w:ind w:left="360"/>
        <w:jc w:val="both"/>
        <w:rPr>
          <w:rFonts w:ascii="David" w:hAnsi="David" w:cs="David"/>
          <w:b/>
          <w:bCs/>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במהלך ניהול ההליך ולאחר שנשמע חלק לא מבוטל מעדי המאשימה, שינה הנאשם את תשובתו לכתב האישום. הוא אישר כי ירה למוות במנוח, והוסיף במסגרת הודעתו בכתב מיום 17.7.22, </w:t>
      </w:r>
      <w:r w:rsidRPr="009A6DE6">
        <w:rPr>
          <w:rFonts w:ascii="David" w:hAnsi="David" w:cs="David" w:hint="cs"/>
          <w:sz w:val="24"/>
          <w:szCs w:val="24"/>
          <w:rtl/>
        </w:rPr>
        <w:t>שהוא:</w:t>
      </w:r>
      <w:r>
        <w:rPr>
          <w:rFonts w:ascii="David" w:hAnsi="David" w:cs="David" w:hint="cs"/>
          <w:sz w:val="24"/>
          <w:szCs w:val="24"/>
          <w:rtl/>
        </w:rPr>
        <w:t xml:space="preserve"> </w:t>
      </w:r>
      <w:r w:rsidRPr="009A6DE6">
        <w:rPr>
          <w:rFonts w:ascii="David" w:hAnsi="David" w:cs="David" w:hint="cs"/>
          <w:b/>
          <w:bCs/>
          <w:sz w:val="24"/>
          <w:szCs w:val="24"/>
          <w:rtl/>
        </w:rPr>
        <w:t>"..החזיק את הנשק בידו, ... שחרר את תפס המחסנית, הוציאה מעט ממקומה, (ו) "דרך" את האקדח .."</w:t>
      </w:r>
      <w:r>
        <w:rPr>
          <w:rFonts w:ascii="David" w:hAnsi="David" w:cs="David" w:hint="cs"/>
          <w:sz w:val="24"/>
          <w:szCs w:val="24"/>
          <w:rtl/>
        </w:rPr>
        <w:t>. זו היתה גרסתו גם בעת שהעיד.</w:t>
      </w:r>
    </w:p>
    <w:p w:rsidR="00272CAC" w:rsidRDefault="00272CAC" w:rsidP="00272CAC">
      <w:pPr>
        <w:pStyle w:val="ac"/>
        <w:spacing w:after="0" w:line="360" w:lineRule="auto"/>
        <w:ind w:left="360"/>
        <w:jc w:val="both"/>
        <w:rPr>
          <w:rFonts w:ascii="David" w:hAnsi="David" w:cs="David"/>
          <w:sz w:val="24"/>
          <w:szCs w:val="24"/>
          <w:rtl/>
        </w:rPr>
      </w:pPr>
    </w:p>
    <w:p w:rsidR="00272CAC" w:rsidRPr="00853A26" w:rsidRDefault="00272CAC" w:rsidP="00272CAC">
      <w:pPr>
        <w:pStyle w:val="ac"/>
        <w:spacing w:after="0" w:line="360" w:lineRule="auto"/>
        <w:ind w:left="360"/>
        <w:jc w:val="both"/>
        <w:rPr>
          <w:rFonts w:ascii="David" w:hAnsi="David" w:cs="David"/>
          <w:b/>
          <w:bCs/>
          <w:sz w:val="24"/>
          <w:szCs w:val="24"/>
          <w:rtl/>
        </w:rPr>
      </w:pPr>
      <w:r w:rsidRPr="00853A26">
        <w:rPr>
          <w:rFonts w:ascii="David" w:hAnsi="David" w:cs="David" w:hint="cs"/>
          <w:b/>
          <w:bCs/>
          <w:sz w:val="24"/>
          <w:szCs w:val="24"/>
          <w:rtl/>
        </w:rPr>
        <w:t>יוצא, כי שני הצדדים אחזו בפועל</w:t>
      </w:r>
      <w:r>
        <w:rPr>
          <w:rFonts w:ascii="David" w:hAnsi="David" w:cs="David" w:hint="cs"/>
          <w:b/>
          <w:bCs/>
          <w:sz w:val="24"/>
          <w:szCs w:val="24"/>
          <w:rtl/>
        </w:rPr>
        <w:t>, ברוב שלבי ההליך,</w:t>
      </w:r>
      <w:r w:rsidRPr="00853A26">
        <w:rPr>
          <w:rFonts w:ascii="David" w:hAnsi="David" w:cs="David" w:hint="cs"/>
          <w:b/>
          <w:bCs/>
          <w:sz w:val="24"/>
          <w:szCs w:val="24"/>
          <w:rtl/>
        </w:rPr>
        <w:t xml:space="preserve"> באותה טענה עובדתית</w:t>
      </w:r>
      <w:r>
        <w:rPr>
          <w:rFonts w:ascii="David" w:hAnsi="David" w:cs="David" w:hint="cs"/>
          <w:b/>
          <w:bCs/>
          <w:sz w:val="24"/>
          <w:szCs w:val="24"/>
          <w:rtl/>
        </w:rPr>
        <w:t xml:space="preserve"> בסיסית</w:t>
      </w:r>
      <w:r w:rsidRPr="00853A26">
        <w:rPr>
          <w:rFonts w:ascii="David" w:hAnsi="David" w:cs="David" w:hint="cs"/>
          <w:b/>
          <w:bCs/>
          <w:sz w:val="24"/>
          <w:szCs w:val="24"/>
          <w:rtl/>
        </w:rPr>
        <w:t xml:space="preserve"> ולפיה עובר לירי הנאשם לחץ על תפס המחסנית, הוציא את המחסנית מעט ממקומה, ו</w:t>
      </w:r>
      <w:r>
        <w:rPr>
          <w:rFonts w:ascii="David" w:hAnsi="David" w:cs="David" w:hint="cs"/>
          <w:b/>
          <w:bCs/>
          <w:sz w:val="24"/>
          <w:szCs w:val="24"/>
          <w:rtl/>
        </w:rPr>
        <w:t>רק אז דרך את האקדח.</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ואולם, בעת עדותו של מומחה הנשק מטעם ההגנה, מר הוניג, התברר באופן חד משמעי כי כאשר תפס המחסנית לחוץ; וליתר דיוק </w:t>
      </w:r>
      <w:r>
        <w:rPr>
          <w:rFonts w:ascii="David" w:hAnsi="David" w:cs="David"/>
          <w:sz w:val="24"/>
          <w:szCs w:val="24"/>
          <w:rtl/>
        </w:rPr>
        <w:t>–</w:t>
      </w:r>
      <w:r>
        <w:rPr>
          <w:rFonts w:ascii="David" w:hAnsi="David" w:cs="David" w:hint="cs"/>
          <w:sz w:val="24"/>
          <w:szCs w:val="24"/>
          <w:rtl/>
        </w:rPr>
        <w:t xml:space="preserve"> כאשר המחסנית אינה תפוסה בתפס המחסנית; דריכת האקדח, קרי משיכת הצינה לאחור ושחרורה, </w:t>
      </w:r>
      <w:r w:rsidRPr="00853A26">
        <w:rPr>
          <w:rFonts w:ascii="David" w:hAnsi="David" w:cs="David" w:hint="cs"/>
          <w:sz w:val="24"/>
          <w:szCs w:val="24"/>
          <w:u w:val="single"/>
          <w:rtl/>
        </w:rPr>
        <w:t>אינה גורפת כדור לבית הבליעה</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אשוב ואציין כי חרף החיצים והטענות שהמאשימה הפנתה כנגד מר הוניג, לטעמי לא היה לכך בסיס ולא מצאתי כל נימוק ענייני שלא לאמץ את קביעותיו והסבריו. יתר על כן, המאשימה לא סתרה את טענתו לעיל של העד, או כל טענה אחרת.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tl/>
        </w:rPr>
      </w:pPr>
      <w:r>
        <w:rPr>
          <w:rFonts w:ascii="David" w:hAnsi="David" w:cs="David" w:hint="cs"/>
          <w:sz w:val="24"/>
          <w:szCs w:val="24"/>
          <w:rtl/>
        </w:rPr>
        <w:t xml:space="preserve">זאת ועוד, חיזוק </w:t>
      </w:r>
      <w:r w:rsidRPr="00853A26">
        <w:rPr>
          <w:rFonts w:ascii="David" w:hAnsi="David" w:cs="David" w:hint="cs"/>
          <w:sz w:val="24"/>
          <w:szCs w:val="24"/>
          <w:u w:val="single"/>
          <w:rtl/>
        </w:rPr>
        <w:t>חלקי</w:t>
      </w:r>
      <w:r>
        <w:rPr>
          <w:rFonts w:ascii="David" w:hAnsi="David" w:cs="David" w:hint="cs"/>
          <w:sz w:val="24"/>
          <w:szCs w:val="24"/>
          <w:rtl/>
        </w:rPr>
        <w:t xml:space="preserve"> לטענתו של מר הוניג </w:t>
      </w:r>
      <w:r w:rsidRPr="00853A26">
        <w:rPr>
          <w:rFonts w:ascii="David" w:hAnsi="David" w:cs="David" w:hint="cs"/>
          <w:sz w:val="24"/>
          <w:szCs w:val="24"/>
          <w:u w:val="single"/>
          <w:rtl/>
        </w:rPr>
        <w:t>שלא</w:t>
      </w:r>
      <w:r>
        <w:rPr>
          <w:rFonts w:ascii="David" w:hAnsi="David" w:cs="David" w:hint="cs"/>
          <w:sz w:val="24"/>
          <w:szCs w:val="24"/>
          <w:rtl/>
        </w:rPr>
        <w:t xml:space="preserve"> ניתן לטעון כדור לבית הבליעה כאשר המחסנית אינה תפוסה בבית המחסנית, נמצא בבדיקה שערך </w:t>
      </w:r>
      <w:r w:rsidRPr="00CD7122">
        <w:rPr>
          <w:rFonts w:ascii="David" w:hAnsi="David" w:cs="David" w:hint="cs"/>
          <w:b/>
          <w:bCs/>
          <w:sz w:val="24"/>
          <w:szCs w:val="24"/>
          <w:u w:val="single"/>
          <w:rtl/>
        </w:rPr>
        <w:t>מומחה המאשימה</w:t>
      </w:r>
      <w:r w:rsidRPr="00CD7122">
        <w:rPr>
          <w:rFonts w:ascii="David" w:hAnsi="David" w:cs="David" w:hint="cs"/>
          <w:b/>
          <w:bCs/>
          <w:sz w:val="24"/>
          <w:szCs w:val="24"/>
          <w:rtl/>
        </w:rPr>
        <w:t xml:space="preserve"> רפ"ק בוקבזה</w:t>
      </w:r>
      <w:r>
        <w:rPr>
          <w:rFonts w:ascii="David" w:hAnsi="David" w:cs="David" w:hint="cs"/>
          <w:sz w:val="24"/>
          <w:szCs w:val="24"/>
          <w:rtl/>
        </w:rPr>
        <w:t xml:space="preserve">. בסדרת הפעולות החמישית שתוארה בת/125, הוא </w:t>
      </w:r>
      <w:r w:rsidRPr="00DE6019">
        <w:rPr>
          <w:rFonts w:ascii="David" w:hAnsi="David" w:cs="David" w:hint="cs"/>
          <w:sz w:val="24"/>
          <w:szCs w:val="24"/>
          <w:rtl/>
        </w:rPr>
        <w:t>טע</w:t>
      </w:r>
      <w:r>
        <w:rPr>
          <w:rFonts w:ascii="David" w:hAnsi="David" w:cs="David" w:hint="cs"/>
          <w:sz w:val="24"/>
          <w:szCs w:val="24"/>
          <w:rtl/>
        </w:rPr>
        <w:t>ן</w:t>
      </w:r>
      <w:r w:rsidRPr="00DE6019">
        <w:rPr>
          <w:rFonts w:ascii="David" w:hAnsi="David" w:cs="David" w:hint="cs"/>
          <w:sz w:val="24"/>
          <w:szCs w:val="24"/>
          <w:rtl/>
        </w:rPr>
        <w:t xml:space="preserve"> </w:t>
      </w:r>
      <w:r>
        <w:rPr>
          <w:rFonts w:ascii="David" w:hAnsi="David" w:cs="David" w:hint="cs"/>
          <w:sz w:val="24"/>
          <w:szCs w:val="24"/>
          <w:rtl/>
        </w:rPr>
        <w:t xml:space="preserve">מחסנית מלאה בכדורים לאקדח; דרך אותו ובכך הכניס כדור תורן לבית הבליעה; בשלב זה הוציא את המחסנית ולאחר מכן הכניס אותה חזרה </w:t>
      </w:r>
      <w:r w:rsidRPr="006B6EC0">
        <w:rPr>
          <w:rFonts w:ascii="David" w:hAnsi="David" w:cs="David" w:hint="cs"/>
          <w:b/>
          <w:bCs/>
          <w:sz w:val="24"/>
          <w:szCs w:val="24"/>
          <w:rtl/>
        </w:rPr>
        <w:t xml:space="preserve">אך באופן מכוון </w:t>
      </w:r>
      <w:r w:rsidRPr="006B6EC0">
        <w:rPr>
          <w:rFonts w:ascii="David" w:hAnsi="David" w:cs="David" w:hint="cs"/>
          <w:b/>
          <w:bCs/>
          <w:sz w:val="24"/>
          <w:szCs w:val="24"/>
          <w:u w:val="single"/>
          <w:rtl/>
        </w:rPr>
        <w:t>לא</w:t>
      </w:r>
      <w:r w:rsidRPr="006B6EC0">
        <w:rPr>
          <w:rFonts w:ascii="David" w:hAnsi="David" w:cs="David" w:hint="cs"/>
          <w:b/>
          <w:bCs/>
          <w:sz w:val="24"/>
          <w:szCs w:val="24"/>
          <w:rtl/>
        </w:rPr>
        <w:t xml:space="preserve"> תפס אותה בתפס המחסנית</w:t>
      </w:r>
      <w:r>
        <w:rPr>
          <w:rFonts w:ascii="David" w:hAnsi="David" w:cs="David" w:hint="cs"/>
          <w:sz w:val="24"/>
          <w:szCs w:val="24"/>
          <w:rtl/>
        </w:rPr>
        <w:t xml:space="preserve">; בשלב זה ירה בנשק, ואז </w:t>
      </w:r>
      <w:r>
        <w:rPr>
          <w:rFonts w:ascii="David" w:hAnsi="David" w:cs="David"/>
          <w:sz w:val="24"/>
          <w:szCs w:val="24"/>
          <w:rtl/>
        </w:rPr>
        <w:t>–</w:t>
      </w:r>
      <w:r>
        <w:rPr>
          <w:rFonts w:ascii="David" w:hAnsi="David" w:cs="David" w:hint="cs"/>
          <w:sz w:val="24"/>
          <w:szCs w:val="24"/>
          <w:rtl/>
        </w:rPr>
        <w:t xml:space="preserve"> כפי שציין - </w:t>
      </w:r>
      <w:r w:rsidRPr="00853A26">
        <w:rPr>
          <w:rFonts w:ascii="David" w:hAnsi="David" w:cs="David" w:hint="cs"/>
          <w:b/>
          <w:bCs/>
          <w:sz w:val="24"/>
          <w:szCs w:val="24"/>
          <w:rtl/>
        </w:rPr>
        <w:t xml:space="preserve">"המחסנית נפלה, הצינה נשארה לפנים (לא נתפסה בעצר המחלק) והאקדח היה ללא כדור תורן בבית הבליעה וההדק היה "דרוך" </w:t>
      </w:r>
      <w:r>
        <w:rPr>
          <w:rFonts w:ascii="David" w:hAnsi="David" w:cs="David" w:hint="cs"/>
          <w:sz w:val="24"/>
          <w:szCs w:val="24"/>
          <w:rtl/>
        </w:rPr>
        <w:t xml:space="preserve">".  בשלב הכנתו לעדות התבקש מומחה המאשימה להתייחס לשאלה האם האקדח יכול לגרוף כדור כאשר המחסנית "כמעט בפנים" (היינו לא תפוסה בתפס המחסנית), והוא השיב כי אינו יכול לחוות דעה על ניסוי שלא ביצע. עם זאת, דומה שהשלב </w:t>
      </w:r>
      <w:r>
        <w:rPr>
          <w:rFonts w:ascii="David" w:hAnsi="David" w:cs="David" w:hint="cs"/>
          <w:sz w:val="24"/>
          <w:szCs w:val="24"/>
          <w:rtl/>
        </w:rPr>
        <w:lastRenderedPageBreak/>
        <w:t>האחרון בסדרת הפעולות לעיל (ירי כאשר המחסנית אינה תפוסה בתפס המחסנית) מייצג את דריכת האקדח כאשר המחסנית "קצת" בחוץ.</w:t>
      </w:r>
    </w:p>
    <w:p w:rsidR="00272CAC" w:rsidRDefault="00272CAC" w:rsidP="00272CAC">
      <w:pPr>
        <w:spacing w:line="360" w:lineRule="auto"/>
        <w:ind w:left="360"/>
        <w:jc w:val="both"/>
        <w:rPr>
          <w:rFonts w:ascii="David" w:hAnsi="David"/>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אקדים את המאוחר ואפנה לכך כי סדרת הפעולות החמישית שתוארה לעיל ושבוצעה על ידי מומחה המאשימה, תואמת </w:t>
      </w:r>
      <w:r w:rsidRPr="00853A26">
        <w:rPr>
          <w:rFonts w:ascii="David" w:hAnsi="David" w:cs="David" w:hint="cs"/>
          <w:sz w:val="24"/>
          <w:szCs w:val="24"/>
          <w:u w:val="single"/>
          <w:rtl/>
        </w:rPr>
        <w:t>כמעט</w:t>
      </w:r>
      <w:r>
        <w:rPr>
          <w:rFonts w:ascii="David" w:hAnsi="David" w:cs="David" w:hint="cs"/>
          <w:sz w:val="24"/>
          <w:szCs w:val="24"/>
          <w:rtl/>
        </w:rPr>
        <w:t xml:space="preserve"> לחלוטין את המצב בו נמצא הנשק בזירה לאחר הירי במנוח -  </w:t>
      </w:r>
    </w:p>
    <w:p w:rsidR="00272CAC" w:rsidRPr="00D75804" w:rsidRDefault="00272CAC" w:rsidP="00272CAC">
      <w:pPr>
        <w:pStyle w:val="ac"/>
        <w:spacing w:after="0" w:line="360" w:lineRule="auto"/>
        <w:ind w:left="360"/>
        <w:jc w:val="both"/>
        <w:rPr>
          <w:rFonts w:ascii="David" w:hAnsi="David" w:cs="David"/>
          <w:sz w:val="24"/>
          <w:szCs w:val="24"/>
          <w:rtl/>
        </w:rPr>
      </w:pPr>
    </w:p>
    <w:p w:rsidR="00272CAC" w:rsidRDefault="00272CAC" w:rsidP="00272CAC">
      <w:pPr>
        <w:spacing w:line="360" w:lineRule="auto"/>
        <w:ind w:left="360"/>
        <w:jc w:val="both"/>
        <w:rPr>
          <w:rFonts w:ascii="David" w:hAnsi="David"/>
          <w:rtl/>
        </w:rPr>
      </w:pPr>
      <w:r>
        <w:rPr>
          <w:rFonts w:ascii="David" w:hAnsi="David" w:hint="cs"/>
          <w:rtl/>
        </w:rPr>
        <w:t>(-)</w:t>
      </w:r>
      <w:r>
        <w:rPr>
          <w:rFonts w:ascii="David" w:hAnsi="David"/>
          <w:rtl/>
        </w:rPr>
        <w:tab/>
      </w:r>
      <w:r>
        <w:rPr>
          <w:rFonts w:ascii="David" w:hAnsi="David" w:hint="cs"/>
          <w:rtl/>
        </w:rPr>
        <w:t xml:space="preserve">נשק עם מחסנית הכוללת 15 כדורים; </w:t>
      </w:r>
    </w:p>
    <w:p w:rsidR="00272CAC" w:rsidRDefault="00272CAC" w:rsidP="00272CAC">
      <w:pPr>
        <w:spacing w:line="360" w:lineRule="auto"/>
        <w:ind w:left="360"/>
        <w:jc w:val="both"/>
        <w:rPr>
          <w:rFonts w:ascii="David" w:hAnsi="David"/>
          <w:rtl/>
        </w:rPr>
      </w:pPr>
      <w:r>
        <w:rPr>
          <w:rFonts w:ascii="David" w:hAnsi="David" w:hint="cs"/>
          <w:rtl/>
        </w:rPr>
        <w:t>(-)</w:t>
      </w:r>
      <w:r>
        <w:rPr>
          <w:rFonts w:ascii="David" w:hAnsi="David"/>
          <w:rtl/>
        </w:rPr>
        <w:tab/>
      </w:r>
      <w:r>
        <w:rPr>
          <w:rFonts w:ascii="David" w:hAnsi="David" w:hint="cs"/>
          <w:rtl/>
        </w:rPr>
        <w:t xml:space="preserve">רק כדור אחד נורה; </w:t>
      </w:r>
    </w:p>
    <w:p w:rsidR="00272CAC" w:rsidRDefault="00272CAC" w:rsidP="00272CAC">
      <w:pPr>
        <w:spacing w:line="360" w:lineRule="auto"/>
        <w:ind w:left="360"/>
        <w:jc w:val="both"/>
        <w:rPr>
          <w:rFonts w:ascii="David" w:hAnsi="David"/>
          <w:rtl/>
        </w:rPr>
      </w:pPr>
      <w:r>
        <w:rPr>
          <w:rFonts w:ascii="David" w:hAnsi="David" w:hint="cs"/>
          <w:rtl/>
        </w:rPr>
        <w:t>(-)</w:t>
      </w:r>
      <w:r>
        <w:rPr>
          <w:rFonts w:ascii="David" w:hAnsi="David"/>
          <w:rtl/>
        </w:rPr>
        <w:tab/>
      </w:r>
      <w:r>
        <w:rPr>
          <w:rFonts w:ascii="David" w:hAnsi="David" w:hint="cs"/>
          <w:rtl/>
        </w:rPr>
        <w:t xml:space="preserve">תרמיל אחד מחוץ לנשק (של הכדור שנורה); </w:t>
      </w:r>
    </w:p>
    <w:p w:rsidR="00272CAC" w:rsidRDefault="00272CAC" w:rsidP="00272CAC">
      <w:pPr>
        <w:spacing w:line="360" w:lineRule="auto"/>
        <w:ind w:left="360"/>
        <w:jc w:val="both"/>
        <w:rPr>
          <w:rFonts w:ascii="David" w:hAnsi="David"/>
          <w:rtl/>
        </w:rPr>
      </w:pPr>
      <w:r>
        <w:rPr>
          <w:rFonts w:ascii="David" w:hAnsi="David" w:hint="cs"/>
          <w:rtl/>
        </w:rPr>
        <w:t>(-)</w:t>
      </w:r>
      <w:r>
        <w:rPr>
          <w:rFonts w:ascii="David" w:hAnsi="David"/>
          <w:rtl/>
        </w:rPr>
        <w:tab/>
      </w:r>
      <w:r>
        <w:rPr>
          <w:rFonts w:ascii="David" w:hAnsi="David" w:hint="cs"/>
          <w:rtl/>
        </w:rPr>
        <w:t xml:space="preserve">ההדק במצב קדמי.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Pr>
      </w:pPr>
      <w:r>
        <w:rPr>
          <w:rFonts w:ascii="David" w:hAnsi="David" w:hint="cs"/>
          <w:rtl/>
        </w:rPr>
        <w:t xml:space="preserve">הנתון היחיד שאינו תואם את מצב ה-אקדח לאחר הירי במנוח הוא מצב המחסנית </w:t>
      </w:r>
      <w:r>
        <w:rPr>
          <w:rFonts w:ascii="David" w:hAnsi="David"/>
          <w:rtl/>
        </w:rPr>
        <w:t>–</w:t>
      </w:r>
      <w:r>
        <w:rPr>
          <w:rFonts w:ascii="David" w:hAnsi="David" w:hint="cs"/>
          <w:rtl/>
        </w:rPr>
        <w:t xml:space="preserve"> מחסנית שאינה תפוסה בסדרת הפעולות שביצע מומחה המאשימה; אל מול מחסנית תפוסה (ככל הנראה) כפי שדיווח רפ"ק מקובסקי. נשוב לכך בהמשך.</w:t>
      </w:r>
    </w:p>
    <w:p w:rsidR="00272CAC" w:rsidRPr="00853A26"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tl/>
        </w:rPr>
      </w:pPr>
      <w:r w:rsidRPr="006B6EC0">
        <w:rPr>
          <w:rFonts w:ascii="David" w:hAnsi="David" w:cs="David" w:hint="cs"/>
          <w:b/>
          <w:bCs/>
          <w:sz w:val="24"/>
          <w:szCs w:val="24"/>
          <w:rtl/>
        </w:rPr>
        <w:t xml:space="preserve">קשה שלא לתמוה מדוע המאשימה לא דאגה לבדוק טרם הגשת כתב האישום באם התרחיש שנטען </w:t>
      </w:r>
      <w:r w:rsidRPr="00D75804">
        <w:rPr>
          <w:rFonts w:ascii="David" w:hAnsi="David" w:cs="David" w:hint="cs"/>
          <w:b/>
          <w:bCs/>
          <w:sz w:val="24"/>
          <w:szCs w:val="24"/>
          <w:u w:val="single"/>
          <w:rtl/>
        </w:rPr>
        <w:t>על ידה</w:t>
      </w:r>
      <w:r w:rsidRPr="006B6EC0">
        <w:rPr>
          <w:rFonts w:ascii="David" w:hAnsi="David" w:cs="David" w:hint="cs"/>
          <w:b/>
          <w:bCs/>
          <w:sz w:val="24"/>
          <w:szCs w:val="24"/>
          <w:rtl/>
        </w:rPr>
        <w:t xml:space="preserve"> בכתב האישום, הוא אפשרי</w:t>
      </w:r>
      <w:r>
        <w:rPr>
          <w:rFonts w:ascii="David" w:hAnsi="David" w:cs="David" w:hint="cs"/>
          <w:b/>
          <w:bCs/>
          <w:sz w:val="24"/>
          <w:szCs w:val="24"/>
          <w:rtl/>
        </w:rPr>
        <w:t xml:space="preserve">; </w:t>
      </w:r>
      <w:r w:rsidRPr="00D75804">
        <w:rPr>
          <w:rFonts w:ascii="David" w:hAnsi="David" w:cs="David" w:hint="cs"/>
          <w:sz w:val="24"/>
          <w:szCs w:val="24"/>
          <w:rtl/>
        </w:rPr>
        <w:t xml:space="preserve">ובמלים אחרות </w:t>
      </w:r>
      <w:r>
        <w:rPr>
          <w:rFonts w:ascii="David" w:hAnsi="David" w:cs="David" w:hint="cs"/>
          <w:sz w:val="24"/>
          <w:szCs w:val="24"/>
          <w:rtl/>
        </w:rPr>
        <w:t>האם אקדח גלוק יכול לגרוף כדור כאשר המחסנית אינה תפוסה בתפס המחסנית.</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לכאורה, יכולה המאשימה לטעון כי ירי בתרחיש שתואר על ידה בכתב האישום הוא אפשרי, באם </w:t>
      </w:r>
      <w:r w:rsidRPr="00853A26">
        <w:rPr>
          <w:rFonts w:ascii="David" w:hAnsi="David" w:cs="David" w:hint="cs"/>
          <w:sz w:val="24"/>
          <w:szCs w:val="24"/>
          <w:u w:val="single"/>
          <w:rtl/>
        </w:rPr>
        <w:t>עובר</w:t>
      </w:r>
      <w:r>
        <w:rPr>
          <w:rFonts w:ascii="David" w:hAnsi="David" w:cs="David" w:hint="cs"/>
          <w:sz w:val="24"/>
          <w:szCs w:val="24"/>
          <w:rtl/>
        </w:rPr>
        <w:t xml:space="preserve"> לתחילת האירוע כבר היה כדור בבית הבליעה ובאם הדריכה היתה חלקית ("חלבית"). תרחיש זה הוא כמובן אפשרי מבחינה טכנית, </w:t>
      </w:r>
      <w:r w:rsidRPr="006B6EC0">
        <w:rPr>
          <w:rFonts w:ascii="David" w:hAnsi="David" w:cs="David" w:hint="cs"/>
          <w:sz w:val="24"/>
          <w:szCs w:val="24"/>
          <w:u w:val="single"/>
          <w:rtl/>
        </w:rPr>
        <w:t>אך לא זה התרחיש שתואר בכתב האישום, והנאשם אף לא עומת על ידי המאשימה בהקשר זה</w:t>
      </w:r>
      <w:r>
        <w:rPr>
          <w:rFonts w:ascii="David" w:hAnsi="David" w:cs="David" w:hint="cs"/>
          <w:sz w:val="24"/>
          <w:szCs w:val="24"/>
          <w:rtl/>
        </w:rPr>
        <w:t xml:space="preserve">. נהפוך הוא, המאשימה עשתה כל שלאל ידה להפריך אפשרות זו. יצוין, כי ההתכנות התיאורטית של תרחיש שכזה היא זו שהובילה את מר הוניג להעלות אפשרויות והסברים לתרחיש שכזה, כגון "דריכת פונדה" שהתרחשה זמן לא מוגדר טרם האירוע. </w:t>
      </w:r>
    </w:p>
    <w:p w:rsidR="00272CAC" w:rsidRDefault="00272CAC" w:rsidP="00272CAC">
      <w:pPr>
        <w:pStyle w:val="ac"/>
        <w:spacing w:after="0" w:line="360" w:lineRule="auto"/>
        <w:ind w:left="360"/>
        <w:jc w:val="both"/>
        <w:rPr>
          <w:rFonts w:ascii="David" w:hAnsi="David" w:cs="David"/>
          <w:sz w:val="24"/>
          <w:szCs w:val="24"/>
          <w:rtl/>
        </w:rPr>
      </w:pPr>
    </w:p>
    <w:p w:rsidR="00272CAC" w:rsidRPr="00853A26"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אפשרות אחרת, וגם אליה אתייחס להלן, היא שהנאשם </w:t>
      </w:r>
      <w:r w:rsidRPr="00CD7122">
        <w:rPr>
          <w:rFonts w:ascii="David" w:hAnsi="David" w:cs="David" w:hint="cs"/>
          <w:sz w:val="24"/>
          <w:szCs w:val="24"/>
          <w:u w:val="single"/>
          <w:rtl/>
        </w:rPr>
        <w:t>ראשית</w:t>
      </w:r>
      <w:r>
        <w:rPr>
          <w:rFonts w:ascii="David" w:hAnsi="David" w:cs="David" w:hint="cs"/>
          <w:sz w:val="24"/>
          <w:szCs w:val="24"/>
          <w:rtl/>
        </w:rPr>
        <w:t xml:space="preserve"> דרך את הנשק; </w:t>
      </w:r>
      <w:r w:rsidRPr="00CD7122">
        <w:rPr>
          <w:rFonts w:ascii="David" w:hAnsi="David" w:cs="David" w:hint="cs"/>
          <w:sz w:val="24"/>
          <w:szCs w:val="24"/>
          <w:u w:val="single"/>
          <w:rtl/>
        </w:rPr>
        <w:t xml:space="preserve">ורק לאחר מכן </w:t>
      </w:r>
      <w:r>
        <w:rPr>
          <w:rFonts w:ascii="David" w:hAnsi="David" w:cs="David" w:hint="cs"/>
          <w:sz w:val="24"/>
          <w:szCs w:val="24"/>
          <w:rtl/>
        </w:rPr>
        <w:t>לחץ על תפס המחסנית ושחרר "מעט" את המחסנית. ודוק, גם תרחיש זה לא תואר בכתב האישום. כתב האישום נקב כאמור בסדר פעולות הפוך, קרי - ראשית שחרור המחסנית והוצאתה, ורק לאחר מכן דריכת הנשק.</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lastRenderedPageBreak/>
        <w:t>מעבר לבעיה ה"משפטית" שהעליתי לעיל בנוגע לתרחישים שלא נטענו על ידי המאשימה או ההגנה (</w:t>
      </w:r>
      <w:r w:rsidRPr="00CD7122">
        <w:rPr>
          <w:rFonts w:ascii="David" w:hAnsi="David" w:cs="David" w:hint="cs"/>
          <w:b/>
          <w:bCs/>
          <w:sz w:val="24"/>
          <w:szCs w:val="24"/>
          <w:rtl/>
        </w:rPr>
        <w:t xml:space="preserve">אקדים את המאוחר ואציין כי בעיה משפטית זו </w:t>
      </w:r>
      <w:r w:rsidRPr="00CD7122">
        <w:rPr>
          <w:rFonts w:ascii="David" w:hAnsi="David" w:cs="David" w:hint="cs"/>
          <w:b/>
          <w:bCs/>
          <w:sz w:val="24"/>
          <w:szCs w:val="24"/>
          <w:u w:val="single"/>
          <w:rtl/>
        </w:rPr>
        <w:t>אינה</w:t>
      </w:r>
      <w:r w:rsidRPr="00CD7122">
        <w:rPr>
          <w:rFonts w:ascii="David" w:hAnsi="David" w:cs="David" w:hint="cs"/>
          <w:b/>
          <w:bCs/>
          <w:sz w:val="24"/>
          <w:szCs w:val="24"/>
          <w:rtl/>
        </w:rPr>
        <w:t xml:space="preserve"> </w:t>
      </w:r>
      <w:r>
        <w:rPr>
          <w:rFonts w:ascii="David" w:hAnsi="David" w:cs="David" w:hint="cs"/>
          <w:b/>
          <w:bCs/>
          <w:sz w:val="24"/>
          <w:szCs w:val="24"/>
          <w:rtl/>
        </w:rPr>
        <w:t xml:space="preserve">מהווה </w:t>
      </w:r>
      <w:r w:rsidRPr="00CD7122">
        <w:rPr>
          <w:rFonts w:ascii="David" w:hAnsi="David" w:cs="David" w:hint="cs"/>
          <w:b/>
          <w:bCs/>
          <w:sz w:val="24"/>
          <w:szCs w:val="24"/>
          <w:rtl/>
        </w:rPr>
        <w:t>אבן נגף בענייננו</w:t>
      </w:r>
      <w:r>
        <w:rPr>
          <w:rFonts w:ascii="David" w:hAnsi="David" w:cs="David" w:hint="cs"/>
          <w:sz w:val="24"/>
          <w:szCs w:val="24"/>
          <w:rtl/>
        </w:rPr>
        <w:t>), קיימות בעיות "ארציות" יותר, בפן הטכני-ראייתי. אבהיר זאת להלן.</w:t>
      </w:r>
    </w:p>
    <w:p w:rsidR="00272CAC" w:rsidRPr="0021419F"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מכיוון שלצערנו סופו של האירוע ידוע, היינו הנאשם ירה בפועל באקדחו; קרי </w:t>
      </w:r>
      <w:r>
        <w:rPr>
          <w:rFonts w:ascii="David" w:hAnsi="David" w:cs="David"/>
          <w:sz w:val="24"/>
          <w:szCs w:val="24"/>
          <w:rtl/>
        </w:rPr>
        <w:t>–</w:t>
      </w:r>
      <w:r>
        <w:rPr>
          <w:rFonts w:ascii="David" w:hAnsi="David" w:cs="David" w:hint="cs"/>
          <w:sz w:val="24"/>
          <w:szCs w:val="24"/>
          <w:rtl/>
        </w:rPr>
        <w:t xml:space="preserve"> עובר ללחיצה על ההדק </w:t>
      </w:r>
      <w:r w:rsidRPr="004D1C88">
        <w:rPr>
          <w:rFonts w:ascii="David" w:hAnsi="David" w:cs="David" w:hint="cs"/>
          <w:sz w:val="24"/>
          <w:szCs w:val="24"/>
          <w:u w:val="single"/>
          <w:rtl/>
        </w:rPr>
        <w:t>היה באקדח כדור בבית הבליעה</w:t>
      </w:r>
      <w:r>
        <w:rPr>
          <w:rFonts w:ascii="David" w:hAnsi="David" w:cs="David" w:hint="cs"/>
          <w:sz w:val="24"/>
          <w:szCs w:val="24"/>
          <w:rtl/>
        </w:rPr>
        <w:t xml:space="preserve">, קיימות שתי אפשרויות בנוגע למצב האקדח </w:t>
      </w:r>
      <w:r w:rsidRPr="007F3969">
        <w:rPr>
          <w:rFonts w:ascii="David" w:hAnsi="David" w:cs="David" w:hint="cs"/>
          <w:sz w:val="24"/>
          <w:szCs w:val="24"/>
          <w:u w:val="single"/>
          <w:rtl/>
        </w:rPr>
        <w:t>עובר לתחילת ה"משחק" בנשק</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או שהיה כדור בבית הבליעה; או שלא היה כדור בבית הבליעה.</w:t>
      </w:r>
    </w:p>
    <w:p w:rsidR="00272CAC" w:rsidRPr="00D75804"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2B699B">
        <w:rPr>
          <w:rFonts w:ascii="David" w:hAnsi="David" w:cs="David" w:hint="cs"/>
          <w:sz w:val="24"/>
          <w:szCs w:val="24"/>
          <w:u w:val="single"/>
          <w:rtl/>
        </w:rPr>
        <w:t xml:space="preserve">במידה </w:t>
      </w:r>
      <w:r w:rsidRPr="006B6EC0">
        <w:rPr>
          <w:rFonts w:ascii="David" w:hAnsi="David" w:cs="David" w:hint="cs"/>
          <w:b/>
          <w:bCs/>
          <w:sz w:val="24"/>
          <w:szCs w:val="24"/>
          <w:u w:val="single"/>
          <w:rtl/>
        </w:rPr>
        <w:t>והיה</w:t>
      </w:r>
      <w:r w:rsidRPr="002B699B">
        <w:rPr>
          <w:rFonts w:ascii="David" w:hAnsi="David" w:cs="David" w:hint="cs"/>
          <w:sz w:val="24"/>
          <w:szCs w:val="24"/>
          <w:u w:val="single"/>
          <w:rtl/>
        </w:rPr>
        <w:t xml:space="preserve"> כדור בבית הבליעה עובר לתחילת ה</w:t>
      </w:r>
      <w:r>
        <w:rPr>
          <w:rFonts w:ascii="David" w:hAnsi="David" w:cs="David" w:hint="cs"/>
          <w:sz w:val="24"/>
          <w:szCs w:val="24"/>
          <w:u w:val="single"/>
          <w:rtl/>
        </w:rPr>
        <w:t>"</w:t>
      </w:r>
      <w:r w:rsidRPr="002B699B">
        <w:rPr>
          <w:rFonts w:ascii="David" w:hAnsi="David" w:cs="David" w:hint="cs"/>
          <w:sz w:val="24"/>
          <w:szCs w:val="24"/>
          <w:u w:val="single"/>
          <w:rtl/>
        </w:rPr>
        <w:t>משחק</w:t>
      </w:r>
      <w:r>
        <w:rPr>
          <w:rFonts w:ascii="David" w:hAnsi="David" w:cs="David" w:hint="cs"/>
          <w:sz w:val="24"/>
          <w:szCs w:val="24"/>
          <w:u w:val="single"/>
          <w:rtl/>
        </w:rPr>
        <w:t>"</w:t>
      </w:r>
      <w:r w:rsidRPr="002B699B">
        <w:rPr>
          <w:rFonts w:ascii="David" w:hAnsi="David" w:cs="David" w:hint="cs"/>
          <w:sz w:val="24"/>
          <w:szCs w:val="24"/>
          <w:u w:val="single"/>
          <w:rtl/>
        </w:rPr>
        <w:t xml:space="preserve"> בנשק</w:t>
      </w:r>
      <w:r w:rsidRPr="002B699B">
        <w:rPr>
          <w:rFonts w:ascii="David" w:hAnsi="David" w:cs="David" w:hint="cs"/>
          <w:sz w:val="24"/>
          <w:szCs w:val="24"/>
          <w:rtl/>
        </w:rPr>
        <w:t>, עולה מטבע הדברים השאלה כיצד הוא הגיע לשם. תשובה חד משמעית לא תימצֵא</w:t>
      </w:r>
      <w:r>
        <w:rPr>
          <w:rFonts w:ascii="David" w:hAnsi="David" w:cs="David" w:hint="cs"/>
          <w:sz w:val="24"/>
          <w:szCs w:val="24"/>
          <w:rtl/>
        </w:rPr>
        <w:t xml:space="preserve"> בראיות</w:t>
      </w:r>
      <w:r w:rsidRPr="002B699B">
        <w:rPr>
          <w:rFonts w:ascii="David" w:hAnsi="David" w:cs="David" w:hint="cs"/>
          <w:sz w:val="24"/>
          <w:szCs w:val="24"/>
          <w:rtl/>
        </w:rPr>
        <w:t xml:space="preserve">, אך נוכח התנהלותו הפושעת של הנאשם עם האקדח כפי שהוכח במהלך ההליך, </w:t>
      </w:r>
      <w:r>
        <w:rPr>
          <w:rFonts w:ascii="David" w:hAnsi="David" w:cs="David" w:hint="cs"/>
          <w:sz w:val="24"/>
          <w:szCs w:val="24"/>
          <w:rtl/>
        </w:rPr>
        <w:t xml:space="preserve">בהחלט אפשרי </w:t>
      </w:r>
      <w:r w:rsidRPr="002B699B">
        <w:rPr>
          <w:rFonts w:ascii="David" w:hAnsi="David" w:cs="David" w:hint="cs"/>
          <w:sz w:val="24"/>
          <w:szCs w:val="24"/>
          <w:rtl/>
        </w:rPr>
        <w:t xml:space="preserve">שבאחד מ"משחקיו" עם הנשק הוא </w:t>
      </w:r>
      <w:r>
        <w:rPr>
          <w:rFonts w:ascii="David" w:hAnsi="David" w:cs="David" w:hint="cs"/>
          <w:sz w:val="24"/>
          <w:szCs w:val="24"/>
          <w:rtl/>
        </w:rPr>
        <w:t xml:space="preserve">דרך את הנשק בעת שהוא טעון במחסנית, ובכך </w:t>
      </w:r>
      <w:r w:rsidRPr="002B699B">
        <w:rPr>
          <w:rFonts w:ascii="David" w:hAnsi="David" w:cs="David" w:hint="cs"/>
          <w:sz w:val="24"/>
          <w:szCs w:val="24"/>
          <w:rtl/>
        </w:rPr>
        <w:t xml:space="preserve">טען כדור בבית הבליעה. </w:t>
      </w:r>
    </w:p>
    <w:p w:rsidR="00272CAC" w:rsidRPr="00CD7890" w:rsidRDefault="00272CAC" w:rsidP="00272CAC">
      <w:pPr>
        <w:pStyle w:val="ac"/>
        <w:rPr>
          <w:rFonts w:ascii="David" w:hAnsi="David" w:cs="David"/>
          <w:sz w:val="24"/>
          <w:szCs w:val="24"/>
          <w:rtl/>
        </w:rPr>
      </w:pPr>
    </w:p>
    <w:p w:rsidR="00272CAC" w:rsidRPr="002B699B" w:rsidRDefault="00272CAC" w:rsidP="00272CAC">
      <w:pPr>
        <w:pStyle w:val="ac"/>
        <w:spacing w:after="0" w:line="360" w:lineRule="auto"/>
        <w:ind w:left="360"/>
        <w:jc w:val="both"/>
        <w:rPr>
          <w:rFonts w:ascii="David" w:hAnsi="David" w:cs="David"/>
          <w:sz w:val="24"/>
          <w:szCs w:val="24"/>
          <w:rtl/>
        </w:rPr>
      </w:pPr>
      <w:r w:rsidRPr="002B699B">
        <w:rPr>
          <w:rFonts w:ascii="David" w:hAnsi="David" w:cs="David" w:hint="cs"/>
          <w:sz w:val="24"/>
          <w:szCs w:val="24"/>
          <w:rtl/>
        </w:rPr>
        <w:t>עם זאת, קשה להניח ש</w:t>
      </w:r>
      <w:r>
        <w:rPr>
          <w:rFonts w:ascii="David" w:hAnsi="David" w:cs="David" w:hint="cs"/>
          <w:sz w:val="24"/>
          <w:szCs w:val="24"/>
          <w:rtl/>
        </w:rPr>
        <w:t>האפשרות לעיל היא ריאלית ש</w:t>
      </w:r>
      <w:r w:rsidRPr="002B699B">
        <w:rPr>
          <w:rFonts w:ascii="David" w:hAnsi="David" w:cs="David" w:hint="cs"/>
          <w:sz w:val="24"/>
          <w:szCs w:val="24"/>
          <w:rtl/>
        </w:rPr>
        <w:t xml:space="preserve">כן </w:t>
      </w:r>
      <w:r w:rsidRPr="00CD7890">
        <w:rPr>
          <w:rFonts w:ascii="David" w:hAnsi="David" w:cs="David" w:hint="cs"/>
          <w:b/>
          <w:bCs/>
          <w:sz w:val="24"/>
          <w:szCs w:val="24"/>
          <w:u w:val="single"/>
          <w:rtl/>
        </w:rPr>
        <w:t xml:space="preserve">פעולה שכזו אף היתה מביאה ההדק </w:t>
      </w:r>
      <w:r w:rsidRPr="0021419F">
        <w:rPr>
          <w:rFonts w:ascii="David" w:hAnsi="David" w:cs="David" w:hint="cs"/>
          <w:b/>
          <w:bCs/>
          <w:sz w:val="24"/>
          <w:szCs w:val="24"/>
          <w:u w:val="single"/>
          <w:rtl/>
        </w:rPr>
        <w:t>למצב "קדמי"</w:t>
      </w:r>
      <w:r w:rsidRPr="002B699B">
        <w:rPr>
          <w:rFonts w:ascii="David" w:hAnsi="David" w:cs="David" w:hint="cs"/>
          <w:sz w:val="24"/>
          <w:szCs w:val="24"/>
          <w:u w:val="single"/>
          <w:rtl/>
        </w:rPr>
        <w:t xml:space="preserve">, </w:t>
      </w:r>
      <w:r w:rsidRPr="00D75804">
        <w:rPr>
          <w:rFonts w:ascii="David" w:hAnsi="David" w:cs="David" w:hint="cs"/>
          <w:b/>
          <w:bCs/>
          <w:sz w:val="24"/>
          <w:szCs w:val="24"/>
          <w:u w:val="single"/>
          <w:rtl/>
        </w:rPr>
        <w:t>נתון שהנאשם לא תיאר ואינו עולה מהראיות</w:t>
      </w:r>
      <w:r w:rsidRPr="002B699B">
        <w:rPr>
          <w:rFonts w:ascii="David" w:hAnsi="David" w:cs="David" w:hint="cs"/>
          <w:sz w:val="24"/>
          <w:szCs w:val="24"/>
          <w:rtl/>
        </w:rPr>
        <w:t xml:space="preserve">. </w:t>
      </w:r>
      <w:r>
        <w:rPr>
          <w:rFonts w:ascii="David" w:hAnsi="David" w:cs="David" w:hint="cs"/>
          <w:sz w:val="24"/>
          <w:szCs w:val="24"/>
          <w:rtl/>
        </w:rPr>
        <w:t xml:space="preserve">זאת ועוד, באם היה כדור בבית הבליעה עובר לתחילת האירוע, דריכת הנשק במהלכו של האירוע בו מצא המנוח את מותו היתה מביאה לחליצת הכדור -  מה שלא תואר על ידי הנאשם. [אמנם דריכה חלקית ("חלבית") לא היתה מביאה לחליצת אותו כדור, אך לשם כך יש להניח שתי הנחות שעל פני הדברים אינן סבירות: הראשונה, שהנאשם </w:t>
      </w:r>
      <w:r w:rsidRPr="00D75804">
        <w:rPr>
          <w:rFonts w:ascii="David" w:hAnsi="David" w:cs="David" w:hint="cs"/>
          <w:sz w:val="24"/>
          <w:szCs w:val="24"/>
          <w:u w:val="single"/>
          <w:rtl/>
        </w:rPr>
        <w:t>התעלם</w:t>
      </w:r>
      <w:r>
        <w:rPr>
          <w:rFonts w:ascii="David" w:hAnsi="David" w:cs="David" w:hint="cs"/>
          <w:sz w:val="24"/>
          <w:szCs w:val="24"/>
          <w:rtl/>
        </w:rPr>
        <w:t xml:space="preserve"> בתחילת האירוע מכך שההדק במצב קדמי; והשניה, שהוא דרך דריכה חלקית].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D75804">
        <w:rPr>
          <w:rFonts w:ascii="David" w:hAnsi="David" w:cs="David" w:hint="cs"/>
          <w:sz w:val="24"/>
          <w:szCs w:val="24"/>
          <w:u w:val="single"/>
          <w:rtl/>
        </w:rPr>
        <w:t xml:space="preserve">נעבור אם כן לאפשרויות שנקודת המוצא להן היא שבתחילת האירוע </w:t>
      </w:r>
      <w:r w:rsidRPr="00D75804">
        <w:rPr>
          <w:rFonts w:ascii="David" w:hAnsi="David" w:cs="David" w:hint="cs"/>
          <w:b/>
          <w:bCs/>
          <w:sz w:val="24"/>
          <w:szCs w:val="24"/>
          <w:u w:val="single"/>
          <w:rtl/>
        </w:rPr>
        <w:t>לא</w:t>
      </w:r>
      <w:r w:rsidRPr="00D75804">
        <w:rPr>
          <w:rFonts w:ascii="David" w:hAnsi="David" w:cs="David" w:hint="cs"/>
          <w:sz w:val="24"/>
          <w:szCs w:val="24"/>
          <w:u w:val="single"/>
          <w:rtl/>
        </w:rPr>
        <w:t xml:space="preserve"> היה כדור בבית </w:t>
      </w:r>
      <w:r w:rsidRPr="001A0413">
        <w:rPr>
          <w:rFonts w:ascii="David" w:hAnsi="David" w:cs="David" w:hint="cs"/>
          <w:sz w:val="24"/>
          <w:szCs w:val="24"/>
          <w:u w:val="single"/>
          <w:rtl/>
        </w:rPr>
        <w:t>הבליעה</w:t>
      </w:r>
      <w:r>
        <w:rPr>
          <w:rFonts w:ascii="David" w:hAnsi="David" w:cs="David" w:hint="cs"/>
          <w:sz w:val="24"/>
          <w:szCs w:val="24"/>
          <w:rtl/>
        </w:rPr>
        <w:t>.</w:t>
      </w:r>
    </w:p>
    <w:p w:rsidR="00272CAC" w:rsidRDefault="00272CAC" w:rsidP="00272CAC">
      <w:pPr>
        <w:pStyle w:val="ac"/>
        <w:spacing w:after="0" w:line="360" w:lineRule="auto"/>
        <w:ind w:left="360"/>
        <w:jc w:val="both"/>
        <w:rPr>
          <w:rFonts w:ascii="David" w:hAnsi="David" w:cs="David"/>
          <w:sz w:val="24"/>
          <w:szCs w:val="24"/>
        </w:rPr>
      </w:pPr>
    </w:p>
    <w:p w:rsidR="00272CAC" w:rsidRPr="00D75804" w:rsidRDefault="00272CAC" w:rsidP="00272CAC">
      <w:pPr>
        <w:pStyle w:val="ac"/>
        <w:numPr>
          <w:ilvl w:val="0"/>
          <w:numId w:val="14"/>
        </w:numPr>
        <w:spacing w:after="0" w:line="360" w:lineRule="auto"/>
        <w:jc w:val="both"/>
        <w:rPr>
          <w:rFonts w:ascii="David" w:hAnsi="David" w:cs="David"/>
          <w:sz w:val="24"/>
          <w:szCs w:val="24"/>
        </w:rPr>
      </w:pPr>
      <w:r w:rsidRPr="00D75804">
        <w:rPr>
          <w:rFonts w:ascii="David" w:hAnsi="David" w:cs="David" w:hint="cs"/>
          <w:b/>
          <w:bCs/>
          <w:sz w:val="24"/>
          <w:szCs w:val="24"/>
          <w:u w:val="single"/>
          <w:rtl/>
        </w:rPr>
        <w:t>האפשרות הראשונה</w:t>
      </w:r>
      <w:r w:rsidRPr="00D75804">
        <w:rPr>
          <w:rFonts w:ascii="David" w:hAnsi="David" w:cs="David" w:hint="cs"/>
          <w:sz w:val="24"/>
          <w:szCs w:val="24"/>
          <w:u w:val="single"/>
          <w:rtl/>
        </w:rPr>
        <w:t xml:space="preserve"> היא זו שתוארה בכתב האישום</w:t>
      </w:r>
      <w:r w:rsidRPr="00D75804">
        <w:rPr>
          <w:rFonts w:ascii="David" w:hAnsi="David" w:cs="David" w:hint="cs"/>
          <w:sz w:val="24"/>
          <w:szCs w:val="24"/>
          <w:rtl/>
        </w:rPr>
        <w:t xml:space="preserve"> היינו שעובר לתחילת האירוע לא היה כדור בבית הבליעה; ההדק היה (עובר לתחילת האירוע) במצב "אחורי" כפי שהוא היה אמור להיות במצבי שגרה; הנאשם לחץ על תפס המחסנית והוציא את המחסנית מעט ממקומה; ואז דרך את הנשק. </w:t>
      </w:r>
      <w:r w:rsidRPr="00D75804">
        <w:rPr>
          <w:rFonts w:ascii="David" w:hAnsi="David" w:cs="David" w:hint="cs"/>
          <w:sz w:val="24"/>
          <w:szCs w:val="24"/>
          <w:u w:val="single"/>
          <w:rtl/>
        </w:rPr>
        <w:t xml:space="preserve">כפי שצוין לעיל, פעולה שכזו לא היתה טוענת כדור בבית הבליעה ולכן אינה רלוונטית. </w:t>
      </w:r>
    </w:p>
    <w:p w:rsidR="00272CAC" w:rsidRPr="007C03EE" w:rsidRDefault="00272CAC" w:rsidP="00272CAC">
      <w:pPr>
        <w:pStyle w:val="ac"/>
        <w:rPr>
          <w:rFonts w:ascii="David" w:hAnsi="David" w:cs="David"/>
          <w:sz w:val="24"/>
          <w:szCs w:val="24"/>
          <w:rtl/>
        </w:rPr>
      </w:pPr>
    </w:p>
    <w:p w:rsidR="00272CAC" w:rsidRPr="007C03EE" w:rsidRDefault="00272CAC" w:rsidP="00272CAC">
      <w:pPr>
        <w:spacing w:line="360" w:lineRule="auto"/>
        <w:ind w:left="360"/>
        <w:jc w:val="both"/>
        <w:rPr>
          <w:rFonts w:ascii="David" w:hAnsi="David"/>
        </w:rPr>
      </w:pPr>
      <w:r>
        <w:rPr>
          <w:rFonts w:ascii="David" w:hAnsi="David" w:hint="cs"/>
          <w:rtl/>
        </w:rPr>
        <w:t xml:space="preserve">כאמור, </w:t>
      </w:r>
      <w:r w:rsidRPr="00D75804">
        <w:rPr>
          <w:rFonts w:ascii="David" w:hAnsi="David" w:hint="cs"/>
          <w:rtl/>
        </w:rPr>
        <w:t>ניתן רק להצטער על כך שהמאשימה לא בדקה את היתכנות סדרת הפעולות לעיל ובמקום זאת נצמדה במרבית ההליך ובחלקים ניכרים מסיכומיה לתרחיש שתואר בכתב האישום. גם</w:t>
      </w:r>
      <w:r>
        <w:rPr>
          <w:rFonts w:ascii="David" w:hAnsi="David" w:hint="cs"/>
          <w:rtl/>
        </w:rPr>
        <w:t xml:space="preserve"> הנאשם לא סייע רבות בהקשר זה בכך שאימץ בעדותו את הגרסה שמסר למדובב ושעליה בוסס כתב האישום. גרסה זו הובילה את באי כוחו למסקנה ש"</w:t>
      </w:r>
      <w:r w:rsidRPr="00563819">
        <w:rPr>
          <w:rFonts w:ascii="David" w:hAnsi="David" w:hint="cs"/>
          <w:b/>
          <w:bCs/>
          <w:rtl/>
        </w:rPr>
        <w:t>שאלות רבות במקרה שבפנינו נותרו ללא מענה ברור וחד משמעי..</w:t>
      </w:r>
      <w:r>
        <w:rPr>
          <w:rFonts w:ascii="David" w:hAnsi="David" w:hint="cs"/>
          <w:rtl/>
        </w:rPr>
        <w:t>" (פסקה 108 לסיכומי ההגנה).</w:t>
      </w:r>
    </w:p>
    <w:p w:rsidR="00272CAC" w:rsidRPr="007C03EE" w:rsidRDefault="00272CAC" w:rsidP="00272CAC">
      <w:pPr>
        <w:pStyle w:val="ac"/>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2E24E6">
        <w:rPr>
          <w:rFonts w:ascii="David" w:hAnsi="David" w:cs="David" w:hint="cs"/>
          <w:b/>
          <w:bCs/>
          <w:sz w:val="24"/>
          <w:szCs w:val="24"/>
          <w:u w:val="single"/>
          <w:rtl/>
        </w:rPr>
        <w:lastRenderedPageBreak/>
        <w:t>האפשרות השניה</w:t>
      </w:r>
      <w:r w:rsidRPr="002B699B">
        <w:rPr>
          <w:rFonts w:ascii="David" w:hAnsi="David" w:cs="David" w:hint="cs"/>
          <w:sz w:val="24"/>
          <w:szCs w:val="24"/>
          <w:rtl/>
        </w:rPr>
        <w:t xml:space="preserve"> היא שהנאשם רק </w:t>
      </w:r>
      <w:r w:rsidRPr="002B699B">
        <w:rPr>
          <w:rFonts w:ascii="David" w:hAnsi="David" w:cs="David" w:hint="cs"/>
          <w:sz w:val="24"/>
          <w:szCs w:val="24"/>
          <w:u w:val="single"/>
          <w:rtl/>
        </w:rPr>
        <w:t>סבר</w:t>
      </w:r>
      <w:r w:rsidRPr="002B699B">
        <w:rPr>
          <w:rFonts w:ascii="David" w:hAnsi="David" w:cs="David" w:hint="cs"/>
          <w:sz w:val="24"/>
          <w:szCs w:val="24"/>
          <w:rtl/>
        </w:rPr>
        <w:t xml:space="preserve"> שהוא לחץ על תפס המחסנית באופן שהדבר שחרר את המחסנית</w:t>
      </w:r>
      <w:r>
        <w:rPr>
          <w:rFonts w:ascii="David" w:hAnsi="David" w:cs="David" w:hint="cs"/>
          <w:sz w:val="24"/>
          <w:szCs w:val="24"/>
          <w:rtl/>
        </w:rPr>
        <w:t>;</w:t>
      </w:r>
      <w:r w:rsidRPr="002B699B">
        <w:rPr>
          <w:rFonts w:ascii="David" w:hAnsi="David" w:cs="David" w:hint="cs"/>
          <w:sz w:val="24"/>
          <w:szCs w:val="24"/>
          <w:rtl/>
        </w:rPr>
        <w:t xml:space="preserve"> והוא רק </w:t>
      </w:r>
      <w:r w:rsidRPr="002B699B">
        <w:rPr>
          <w:rFonts w:ascii="David" w:hAnsi="David" w:cs="David" w:hint="cs"/>
          <w:sz w:val="24"/>
          <w:szCs w:val="24"/>
          <w:u w:val="single"/>
          <w:rtl/>
        </w:rPr>
        <w:t>סבר</w:t>
      </w:r>
      <w:r w:rsidRPr="002B699B">
        <w:rPr>
          <w:rFonts w:ascii="David" w:hAnsi="David" w:cs="David" w:hint="cs"/>
          <w:sz w:val="24"/>
          <w:szCs w:val="24"/>
          <w:rtl/>
        </w:rPr>
        <w:t xml:space="preserve"> שהמחסנית יצאה "קצת".</w:t>
      </w:r>
    </w:p>
    <w:p w:rsidR="00272CAC" w:rsidRPr="00D75804"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2B699B">
        <w:rPr>
          <w:rFonts w:ascii="David" w:hAnsi="David" w:cs="David" w:hint="cs"/>
          <w:sz w:val="24"/>
          <w:szCs w:val="24"/>
          <w:rtl/>
        </w:rPr>
        <w:t xml:space="preserve">במילים אחרות, הנאשם ככל הנראה לא לחץ מספיק על תפס המחסנית באופן שהיה בו די כדי לשחררה. </w:t>
      </w:r>
      <w:r>
        <w:rPr>
          <w:rFonts w:ascii="David" w:hAnsi="David" w:cs="David" w:hint="cs"/>
          <w:sz w:val="24"/>
          <w:szCs w:val="24"/>
          <w:rtl/>
        </w:rPr>
        <w:t xml:space="preserve">הפניתי לעיל לכך שהמאשימה במסגרת סיכומיה טענה-לא טענה </w:t>
      </w:r>
      <w:r w:rsidRPr="00CD7122">
        <w:rPr>
          <w:rFonts w:ascii="David" w:hAnsi="David" w:cs="David" w:hint="cs"/>
          <w:sz w:val="24"/>
          <w:szCs w:val="24"/>
          <w:u w:val="single"/>
          <w:rtl/>
        </w:rPr>
        <w:t>גם</w:t>
      </w:r>
      <w:r>
        <w:rPr>
          <w:rFonts w:ascii="David" w:hAnsi="David" w:cs="David" w:hint="cs"/>
          <w:sz w:val="24"/>
          <w:szCs w:val="24"/>
          <w:rtl/>
        </w:rPr>
        <w:t xml:space="preserve"> לאפשרות זו.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אפנה לכך כי במהלך עדות מומחה ההגנה במטווח גניגר הוא ציין בשלב מסוים של תפעול הנשק, כי חרף לחיצתו על תפס המחסנית, המחסנית נותרה תפוסה בתפס ורק לאחר מספר לחיצות התפס שוחרר (חלק שני של תיעוד עדותו של מר הוניג במטווח, נומרטור 12:50 ואילך). משמע, אין מדובר על פני הדברים באירוע נדיר.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זאת ועוד, לכאורה </w:t>
      </w:r>
      <w:r w:rsidRPr="002B699B">
        <w:rPr>
          <w:rFonts w:ascii="David" w:hAnsi="David" w:cs="David" w:hint="cs"/>
          <w:sz w:val="24"/>
          <w:szCs w:val="24"/>
          <w:rtl/>
        </w:rPr>
        <w:t xml:space="preserve">ניתן למצוא חיזוק כפול לאפשרות זו: ראשית, בטענת הנאשם שהמחסנית לא נפלה </w:t>
      </w:r>
      <w:r>
        <w:rPr>
          <w:rFonts w:ascii="David" w:hAnsi="David" w:cs="David" w:hint="cs"/>
          <w:sz w:val="24"/>
          <w:szCs w:val="24"/>
          <w:rtl/>
        </w:rPr>
        <w:t xml:space="preserve">(לכאורה </w:t>
      </w:r>
      <w:r w:rsidRPr="002B699B">
        <w:rPr>
          <w:rFonts w:ascii="David" w:hAnsi="David" w:cs="David" w:hint="cs"/>
          <w:sz w:val="24"/>
          <w:szCs w:val="24"/>
          <w:rtl/>
        </w:rPr>
        <w:t>משום שלא שוחררה מתפס המחסנית</w:t>
      </w:r>
      <w:r>
        <w:rPr>
          <w:rFonts w:ascii="David" w:hAnsi="David" w:cs="David" w:hint="cs"/>
          <w:sz w:val="24"/>
          <w:szCs w:val="24"/>
          <w:rtl/>
        </w:rPr>
        <w:t>);</w:t>
      </w:r>
      <w:r w:rsidRPr="002B699B">
        <w:rPr>
          <w:rFonts w:ascii="David" w:hAnsi="David" w:cs="David" w:hint="cs"/>
          <w:sz w:val="24"/>
          <w:szCs w:val="24"/>
          <w:rtl/>
        </w:rPr>
        <w:t xml:space="preserve"> </w:t>
      </w:r>
      <w:r>
        <w:rPr>
          <w:rFonts w:ascii="David" w:hAnsi="David" w:cs="David" w:hint="cs"/>
          <w:sz w:val="24"/>
          <w:szCs w:val="24"/>
          <w:rtl/>
        </w:rPr>
        <w:t>ו</w:t>
      </w:r>
      <w:r w:rsidRPr="002B699B">
        <w:rPr>
          <w:rFonts w:ascii="David" w:hAnsi="David" w:cs="David" w:hint="cs"/>
          <w:sz w:val="24"/>
          <w:szCs w:val="24"/>
          <w:rtl/>
        </w:rPr>
        <w:t xml:space="preserve">שנית, </w:t>
      </w:r>
      <w:r>
        <w:rPr>
          <w:rFonts w:ascii="David" w:hAnsi="David" w:cs="David" w:hint="cs"/>
          <w:sz w:val="24"/>
          <w:szCs w:val="24"/>
          <w:rtl/>
        </w:rPr>
        <w:t>אפנה לכך ש</w:t>
      </w:r>
      <w:r w:rsidRPr="002B699B">
        <w:rPr>
          <w:rFonts w:ascii="David" w:hAnsi="David" w:cs="David" w:hint="cs"/>
          <w:sz w:val="24"/>
          <w:szCs w:val="24"/>
          <w:rtl/>
        </w:rPr>
        <w:t xml:space="preserve">רפ"ק מקובסקי טען (תוך הסתייגות מסוימת) שמצא את הנשק כשהמחסנית בפנים </w:t>
      </w:r>
      <w:r>
        <w:rPr>
          <w:rFonts w:ascii="David" w:hAnsi="David" w:cs="David" w:hint="cs"/>
          <w:sz w:val="24"/>
          <w:szCs w:val="24"/>
          <w:rtl/>
        </w:rPr>
        <w:t xml:space="preserve">וכשהיא </w:t>
      </w:r>
      <w:r w:rsidRPr="002B699B">
        <w:rPr>
          <w:rFonts w:ascii="David" w:hAnsi="David" w:cs="David" w:hint="cs"/>
          <w:sz w:val="24"/>
          <w:szCs w:val="24"/>
          <w:rtl/>
        </w:rPr>
        <w:t>תפוסה בתפס המחסנית</w:t>
      </w:r>
      <w:r>
        <w:rPr>
          <w:rFonts w:ascii="David" w:hAnsi="David" w:cs="David" w:hint="cs"/>
          <w:sz w:val="24"/>
          <w:szCs w:val="24"/>
          <w:rtl/>
        </w:rPr>
        <w:t xml:space="preserve"> (</w:t>
      </w:r>
      <w:r w:rsidRPr="002B699B">
        <w:rPr>
          <w:rFonts w:ascii="David" w:hAnsi="David" w:cs="David" w:hint="cs"/>
          <w:sz w:val="24"/>
          <w:szCs w:val="24"/>
          <w:rtl/>
        </w:rPr>
        <w:t xml:space="preserve">הסיבה לכך </w:t>
      </w:r>
      <w:r>
        <w:rPr>
          <w:rFonts w:ascii="David" w:hAnsi="David" w:cs="David" w:hint="cs"/>
          <w:sz w:val="24"/>
          <w:szCs w:val="24"/>
          <w:rtl/>
        </w:rPr>
        <w:t xml:space="preserve">לכאורה </w:t>
      </w:r>
      <w:r w:rsidRPr="002B699B">
        <w:rPr>
          <w:rFonts w:ascii="David" w:hAnsi="David" w:cs="David" w:hint="cs"/>
          <w:sz w:val="24"/>
          <w:szCs w:val="24"/>
          <w:rtl/>
        </w:rPr>
        <w:t xml:space="preserve">פשוטה </w:t>
      </w:r>
      <w:r w:rsidRPr="002B699B">
        <w:rPr>
          <w:rFonts w:ascii="David" w:hAnsi="David" w:cs="David"/>
          <w:sz w:val="24"/>
          <w:szCs w:val="24"/>
          <w:rtl/>
        </w:rPr>
        <w:t>–</w:t>
      </w:r>
      <w:r w:rsidRPr="002B699B">
        <w:rPr>
          <w:rFonts w:ascii="David" w:hAnsi="David" w:cs="David" w:hint="cs"/>
          <w:sz w:val="24"/>
          <w:szCs w:val="24"/>
          <w:rtl/>
        </w:rPr>
        <w:t xml:space="preserve"> הוא מצא את האקדח במצב זה משום שהנאשם מעולם לא שחרר </w:t>
      </w:r>
      <w:r>
        <w:rPr>
          <w:rFonts w:ascii="David" w:hAnsi="David" w:cs="David" w:hint="cs"/>
          <w:sz w:val="24"/>
          <w:szCs w:val="24"/>
          <w:rtl/>
        </w:rPr>
        <w:t xml:space="preserve">בפועל </w:t>
      </w:r>
      <w:r w:rsidRPr="002B699B">
        <w:rPr>
          <w:rFonts w:ascii="David" w:hAnsi="David" w:cs="David" w:hint="cs"/>
          <w:sz w:val="24"/>
          <w:szCs w:val="24"/>
          <w:rtl/>
        </w:rPr>
        <w:t>את המחסנית מתפס המחסנית</w:t>
      </w:r>
      <w:r>
        <w:rPr>
          <w:rFonts w:ascii="David" w:hAnsi="David" w:cs="David" w:hint="cs"/>
          <w:sz w:val="24"/>
          <w:szCs w:val="24"/>
          <w:rtl/>
        </w:rPr>
        <w:t>)</w:t>
      </w:r>
      <w:r w:rsidRPr="002B699B">
        <w:rPr>
          <w:rFonts w:ascii="David" w:hAnsi="David" w:cs="David" w:hint="cs"/>
          <w:sz w:val="24"/>
          <w:szCs w:val="24"/>
          <w:rtl/>
        </w:rPr>
        <w:t xml:space="preserve">. </w:t>
      </w:r>
    </w:p>
    <w:p w:rsidR="00272CAC" w:rsidRPr="00D75804" w:rsidRDefault="00272CAC" w:rsidP="00272CAC">
      <w:pPr>
        <w:pStyle w:val="ac"/>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u w:val="single"/>
          <w:rtl/>
        </w:rPr>
      </w:pPr>
      <w:r w:rsidRPr="002B699B">
        <w:rPr>
          <w:rFonts w:ascii="David" w:hAnsi="David" w:cs="David" w:hint="cs"/>
          <w:sz w:val="24"/>
          <w:szCs w:val="24"/>
          <w:rtl/>
        </w:rPr>
        <w:t>דא עקא, שלאפשרות זו יש עקב אכילס עיקרי מרכזי, והיא העובדה שלו</w:t>
      </w:r>
      <w:r>
        <w:rPr>
          <w:rFonts w:ascii="David" w:hAnsi="David" w:cs="David" w:hint="cs"/>
          <w:sz w:val="24"/>
          <w:szCs w:val="24"/>
          <w:rtl/>
        </w:rPr>
        <w:t>ּ</w:t>
      </w:r>
      <w:r w:rsidRPr="002B699B">
        <w:rPr>
          <w:rFonts w:ascii="David" w:hAnsi="David" w:cs="David" w:hint="cs"/>
          <w:sz w:val="24"/>
          <w:szCs w:val="24"/>
          <w:rtl/>
        </w:rPr>
        <w:t xml:space="preserve"> </w:t>
      </w:r>
      <w:r>
        <w:rPr>
          <w:rFonts w:ascii="David" w:hAnsi="David" w:cs="David" w:hint="cs"/>
          <w:sz w:val="24"/>
          <w:szCs w:val="24"/>
          <w:rtl/>
        </w:rPr>
        <w:t>מדובר היה ב</w:t>
      </w:r>
      <w:r w:rsidRPr="002B699B">
        <w:rPr>
          <w:rFonts w:ascii="David" w:hAnsi="David" w:cs="David" w:hint="cs"/>
          <w:sz w:val="24"/>
          <w:szCs w:val="24"/>
          <w:rtl/>
        </w:rPr>
        <w:t xml:space="preserve">תרחיש </w:t>
      </w:r>
      <w:r>
        <w:rPr>
          <w:rFonts w:ascii="David" w:hAnsi="David" w:cs="David" w:hint="cs"/>
          <w:sz w:val="24"/>
          <w:szCs w:val="24"/>
          <w:rtl/>
        </w:rPr>
        <w:t xml:space="preserve">שהתקיים </w:t>
      </w:r>
      <w:r w:rsidRPr="002B699B">
        <w:rPr>
          <w:rFonts w:ascii="David" w:hAnsi="David" w:cs="David" w:hint="cs"/>
          <w:sz w:val="24"/>
          <w:szCs w:val="24"/>
          <w:rtl/>
        </w:rPr>
        <w:t xml:space="preserve">בפועל, </w:t>
      </w:r>
      <w:r w:rsidRPr="002B699B">
        <w:rPr>
          <w:rFonts w:ascii="David" w:hAnsi="David" w:cs="David" w:hint="cs"/>
          <w:sz w:val="24"/>
          <w:szCs w:val="24"/>
          <w:u w:val="single"/>
          <w:rtl/>
        </w:rPr>
        <w:t>רפ"ק מקובסקי היה אמור</w:t>
      </w:r>
      <w:r>
        <w:rPr>
          <w:rFonts w:ascii="David" w:hAnsi="David" w:cs="David" w:hint="cs"/>
          <w:sz w:val="24"/>
          <w:szCs w:val="24"/>
          <w:u w:val="single"/>
          <w:rtl/>
        </w:rPr>
        <w:t xml:space="preserve"> </w:t>
      </w:r>
      <w:r>
        <w:rPr>
          <w:rFonts w:ascii="David" w:hAnsi="David" w:cs="David"/>
          <w:sz w:val="24"/>
          <w:szCs w:val="24"/>
          <w:u w:val="single"/>
          <w:rtl/>
        </w:rPr>
        <w:t>–</w:t>
      </w:r>
      <w:r>
        <w:rPr>
          <w:rFonts w:ascii="David" w:hAnsi="David" w:cs="David" w:hint="cs"/>
          <w:sz w:val="24"/>
          <w:szCs w:val="24"/>
          <w:u w:val="single"/>
          <w:rtl/>
        </w:rPr>
        <w:t xml:space="preserve"> </w:t>
      </w:r>
    </w:p>
    <w:p w:rsidR="00272CAC" w:rsidRDefault="00272CAC" w:rsidP="00272CAC">
      <w:pPr>
        <w:pStyle w:val="ac"/>
        <w:spacing w:after="0" w:line="360" w:lineRule="auto"/>
        <w:ind w:left="360"/>
        <w:jc w:val="both"/>
        <w:rPr>
          <w:rFonts w:ascii="David" w:hAnsi="David" w:cs="David"/>
          <w:sz w:val="24"/>
          <w:szCs w:val="24"/>
          <w:u w:val="single"/>
          <w:rtl/>
        </w:rPr>
      </w:pPr>
    </w:p>
    <w:p w:rsidR="00272CAC" w:rsidRDefault="00272CAC" w:rsidP="00272CAC">
      <w:pPr>
        <w:pStyle w:val="ac"/>
        <w:spacing w:after="0" w:line="360" w:lineRule="auto"/>
        <w:ind w:left="360"/>
        <w:jc w:val="both"/>
        <w:rPr>
          <w:rFonts w:ascii="David" w:hAnsi="David" w:cs="David"/>
          <w:sz w:val="24"/>
          <w:szCs w:val="24"/>
          <w:u w:val="single"/>
          <w:rtl/>
        </w:rPr>
      </w:pPr>
      <w:r>
        <w:rPr>
          <w:rFonts w:ascii="David" w:hAnsi="David" w:cs="David" w:hint="cs"/>
          <w:sz w:val="24"/>
          <w:szCs w:val="24"/>
          <w:u w:val="single"/>
          <w:rtl/>
        </w:rPr>
        <w:t xml:space="preserve">ראשית, לאתר </w:t>
      </w:r>
      <w:r w:rsidRPr="002B699B">
        <w:rPr>
          <w:rFonts w:ascii="David" w:hAnsi="David" w:cs="David" w:hint="cs"/>
          <w:sz w:val="24"/>
          <w:szCs w:val="24"/>
          <w:u w:val="single"/>
          <w:rtl/>
        </w:rPr>
        <w:t>כדור בבית הבליעה</w:t>
      </w:r>
      <w:r>
        <w:rPr>
          <w:rFonts w:ascii="David" w:hAnsi="David" w:cs="David" w:hint="cs"/>
          <w:sz w:val="24"/>
          <w:szCs w:val="24"/>
          <w:u w:val="single"/>
          <w:rtl/>
        </w:rPr>
        <w:t xml:space="preserve"> (שהיה נכנס לשם כחלק ממחזור הנשק התקין); </w:t>
      </w:r>
    </w:p>
    <w:p w:rsidR="00272CAC" w:rsidRDefault="00272CAC" w:rsidP="00272CAC">
      <w:pPr>
        <w:pStyle w:val="ac"/>
        <w:spacing w:after="0" w:line="360" w:lineRule="auto"/>
        <w:ind w:left="360"/>
        <w:jc w:val="both"/>
        <w:rPr>
          <w:rFonts w:ascii="David" w:hAnsi="David" w:cs="David"/>
          <w:sz w:val="24"/>
          <w:szCs w:val="24"/>
          <w:u w:val="single"/>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u w:val="single"/>
          <w:rtl/>
        </w:rPr>
        <w:t xml:space="preserve">ושנית, למצוא </w:t>
      </w:r>
      <w:r w:rsidRPr="002B699B">
        <w:rPr>
          <w:rFonts w:ascii="David" w:hAnsi="David" w:cs="David" w:hint="cs"/>
          <w:sz w:val="24"/>
          <w:szCs w:val="24"/>
          <w:u w:val="single"/>
          <w:rtl/>
        </w:rPr>
        <w:t>רק 14 כדורים במחסנית</w:t>
      </w:r>
      <w:r w:rsidRPr="00CD7122">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6B6EC0">
        <w:rPr>
          <w:rFonts w:ascii="David" w:hAnsi="David" w:cs="David" w:hint="cs"/>
          <w:sz w:val="24"/>
          <w:szCs w:val="24"/>
          <w:rtl/>
        </w:rPr>
        <w:t xml:space="preserve">ואולם בפועל הוא </w:t>
      </w:r>
      <w:r w:rsidRPr="006B6EC0">
        <w:rPr>
          <w:rFonts w:ascii="David" w:hAnsi="David" w:cs="David" w:hint="cs"/>
          <w:sz w:val="24"/>
          <w:szCs w:val="24"/>
          <w:u w:val="single"/>
          <w:rtl/>
        </w:rPr>
        <w:t>לא</w:t>
      </w:r>
      <w:r w:rsidRPr="006B6EC0">
        <w:rPr>
          <w:rFonts w:ascii="David" w:hAnsi="David" w:cs="David" w:hint="cs"/>
          <w:sz w:val="24"/>
          <w:szCs w:val="24"/>
          <w:rtl/>
        </w:rPr>
        <w:t xml:space="preserve"> מצא כדור בבית הבליעה; ובמחסנית היו 15 כדורים. כאמור לעיל, המחסנית בה עשה הנאשם שימוש הכילה</w:t>
      </w:r>
      <w:r>
        <w:rPr>
          <w:rFonts w:ascii="David" w:hAnsi="David" w:cs="David" w:hint="cs"/>
          <w:sz w:val="24"/>
          <w:szCs w:val="24"/>
          <w:rtl/>
        </w:rPr>
        <w:t xml:space="preserve"> עובר לירי </w:t>
      </w:r>
      <w:r w:rsidRPr="006B6EC0">
        <w:rPr>
          <w:rFonts w:ascii="David" w:hAnsi="David" w:cs="David" w:hint="cs"/>
          <w:sz w:val="24"/>
          <w:szCs w:val="24"/>
          <w:rtl/>
        </w:rPr>
        <w:t xml:space="preserve">16 כדורים. </w:t>
      </w:r>
    </w:p>
    <w:p w:rsidR="00272CAC" w:rsidRDefault="00272CAC" w:rsidP="00272CAC">
      <w:pPr>
        <w:pStyle w:val="ac"/>
        <w:spacing w:after="0" w:line="360" w:lineRule="auto"/>
        <w:ind w:left="360"/>
        <w:jc w:val="both"/>
        <w:rPr>
          <w:rFonts w:ascii="David" w:hAnsi="David" w:cs="David"/>
          <w:sz w:val="24"/>
          <w:szCs w:val="24"/>
          <w:rtl/>
        </w:rPr>
      </w:pPr>
    </w:p>
    <w:p w:rsidR="00272CAC" w:rsidRPr="006B6EC0"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יוצא כי אין מדובר בתרחיש ריאלי.</w:t>
      </w:r>
    </w:p>
    <w:p w:rsidR="00272CAC" w:rsidRPr="00D75804" w:rsidRDefault="00272CAC" w:rsidP="00272CAC">
      <w:pPr>
        <w:pStyle w:val="ac"/>
        <w:rPr>
          <w:rFonts w:ascii="David" w:hAnsi="David" w:cs="David"/>
          <w:sz w:val="24"/>
          <w:szCs w:val="24"/>
          <w:rtl/>
        </w:rPr>
      </w:pPr>
    </w:p>
    <w:p w:rsidR="00272CAC" w:rsidRPr="002B699B" w:rsidRDefault="00272CAC" w:rsidP="00272CAC">
      <w:pPr>
        <w:pStyle w:val="ac"/>
        <w:numPr>
          <w:ilvl w:val="0"/>
          <w:numId w:val="14"/>
        </w:numPr>
        <w:spacing w:after="0" w:line="360" w:lineRule="auto"/>
        <w:jc w:val="both"/>
        <w:rPr>
          <w:rFonts w:ascii="David" w:hAnsi="David" w:cs="David"/>
          <w:sz w:val="24"/>
          <w:szCs w:val="24"/>
          <w:rtl/>
        </w:rPr>
      </w:pPr>
      <w:r w:rsidRPr="002E24E6">
        <w:rPr>
          <w:rFonts w:ascii="David" w:hAnsi="David" w:cs="David" w:hint="cs"/>
          <w:b/>
          <w:bCs/>
          <w:sz w:val="24"/>
          <w:szCs w:val="24"/>
          <w:u w:val="single"/>
          <w:rtl/>
        </w:rPr>
        <w:t>האפשרות השלישית</w:t>
      </w:r>
      <w:r w:rsidRPr="002B699B">
        <w:rPr>
          <w:rFonts w:ascii="David" w:hAnsi="David" w:cs="David" w:hint="cs"/>
          <w:b/>
          <w:bCs/>
          <w:sz w:val="24"/>
          <w:szCs w:val="24"/>
          <w:rtl/>
        </w:rPr>
        <w:t xml:space="preserve">, </w:t>
      </w:r>
      <w:r w:rsidRPr="006B6EC0">
        <w:rPr>
          <w:rFonts w:ascii="David" w:hAnsi="David" w:cs="David" w:hint="cs"/>
          <w:b/>
          <w:bCs/>
          <w:sz w:val="24"/>
          <w:szCs w:val="24"/>
          <w:u w:val="single"/>
          <w:rtl/>
        </w:rPr>
        <w:t>שהיא ל</w:t>
      </w:r>
      <w:r>
        <w:rPr>
          <w:rFonts w:ascii="David" w:hAnsi="David" w:cs="David" w:hint="cs"/>
          <w:b/>
          <w:bCs/>
          <w:sz w:val="24"/>
          <w:szCs w:val="24"/>
          <w:u w:val="single"/>
          <w:rtl/>
        </w:rPr>
        <w:t xml:space="preserve">עניות דעתי (ככל הנראה) </w:t>
      </w:r>
      <w:r w:rsidRPr="006B6EC0">
        <w:rPr>
          <w:rFonts w:ascii="David" w:hAnsi="David" w:cs="David" w:hint="cs"/>
          <w:b/>
          <w:bCs/>
          <w:sz w:val="24"/>
          <w:szCs w:val="24"/>
          <w:u w:val="single"/>
          <w:rtl/>
        </w:rPr>
        <w:t>מה שארע בפועל</w:t>
      </w:r>
      <w:r w:rsidRPr="002B699B">
        <w:rPr>
          <w:rFonts w:ascii="David" w:hAnsi="David" w:cs="David" w:hint="cs"/>
          <w:b/>
          <w:bCs/>
          <w:sz w:val="24"/>
          <w:szCs w:val="24"/>
          <w:rtl/>
        </w:rPr>
        <w:t xml:space="preserve">, היא שסדר הפעולות שבוצע הוא </w:t>
      </w:r>
      <w:r w:rsidRPr="00D75804">
        <w:rPr>
          <w:rFonts w:ascii="David" w:hAnsi="David" w:cs="David" w:hint="cs"/>
          <w:b/>
          <w:bCs/>
          <w:sz w:val="24"/>
          <w:szCs w:val="24"/>
          <w:u w:val="single"/>
          <w:rtl/>
        </w:rPr>
        <w:t>לא</w:t>
      </w:r>
      <w:r w:rsidRPr="002B699B">
        <w:rPr>
          <w:rFonts w:ascii="David" w:hAnsi="David" w:cs="David" w:hint="cs"/>
          <w:b/>
          <w:bCs/>
          <w:sz w:val="24"/>
          <w:szCs w:val="24"/>
          <w:rtl/>
        </w:rPr>
        <w:t xml:space="preserve"> כפי שנטען בכתב האישום, אלא </w:t>
      </w:r>
      <w:r w:rsidRPr="002B699B">
        <w:rPr>
          <w:rFonts w:ascii="David" w:hAnsi="David" w:cs="David" w:hint="cs"/>
          <w:b/>
          <w:bCs/>
          <w:sz w:val="24"/>
          <w:szCs w:val="24"/>
          <w:u w:val="single"/>
          <w:rtl/>
        </w:rPr>
        <w:t>שקודם</w:t>
      </w:r>
      <w:r w:rsidRPr="002B699B">
        <w:rPr>
          <w:rFonts w:ascii="David" w:hAnsi="David" w:cs="David" w:hint="cs"/>
          <w:b/>
          <w:bCs/>
          <w:sz w:val="24"/>
          <w:szCs w:val="24"/>
          <w:rtl/>
        </w:rPr>
        <w:t xml:space="preserve"> </w:t>
      </w:r>
      <w:r>
        <w:rPr>
          <w:rFonts w:ascii="David" w:hAnsi="David" w:cs="David" w:hint="cs"/>
          <w:b/>
          <w:bCs/>
          <w:sz w:val="24"/>
          <w:szCs w:val="24"/>
          <w:rtl/>
        </w:rPr>
        <w:t xml:space="preserve">הנאשם </w:t>
      </w:r>
      <w:r w:rsidRPr="002B699B">
        <w:rPr>
          <w:rFonts w:ascii="David" w:hAnsi="David" w:cs="David" w:hint="cs"/>
          <w:b/>
          <w:bCs/>
          <w:sz w:val="24"/>
          <w:szCs w:val="24"/>
          <w:rtl/>
        </w:rPr>
        <w:t xml:space="preserve">ביצע פעולת דריכה </w:t>
      </w:r>
      <w:r>
        <w:rPr>
          <w:rFonts w:ascii="David" w:hAnsi="David" w:cs="David" w:hint="cs"/>
          <w:b/>
          <w:bCs/>
          <w:sz w:val="24"/>
          <w:szCs w:val="24"/>
          <w:rtl/>
        </w:rPr>
        <w:t>ו</w:t>
      </w:r>
      <w:r w:rsidRPr="002B699B">
        <w:rPr>
          <w:rFonts w:ascii="David" w:hAnsi="David" w:cs="David" w:hint="cs"/>
          <w:b/>
          <w:bCs/>
          <w:sz w:val="24"/>
          <w:szCs w:val="24"/>
          <w:rtl/>
        </w:rPr>
        <w:t xml:space="preserve">בכך </w:t>
      </w:r>
      <w:r>
        <w:rPr>
          <w:rFonts w:ascii="David" w:hAnsi="David" w:cs="David" w:hint="cs"/>
          <w:b/>
          <w:bCs/>
          <w:sz w:val="24"/>
          <w:szCs w:val="24"/>
          <w:rtl/>
        </w:rPr>
        <w:t xml:space="preserve">טען </w:t>
      </w:r>
      <w:r w:rsidRPr="002B699B">
        <w:rPr>
          <w:rFonts w:ascii="David" w:hAnsi="David" w:cs="David" w:hint="cs"/>
          <w:b/>
          <w:bCs/>
          <w:sz w:val="24"/>
          <w:szCs w:val="24"/>
          <w:rtl/>
        </w:rPr>
        <w:t xml:space="preserve">כדור לבית הבליעה; ורק </w:t>
      </w:r>
      <w:r w:rsidRPr="002B699B">
        <w:rPr>
          <w:rFonts w:ascii="David" w:hAnsi="David" w:cs="David" w:hint="cs"/>
          <w:b/>
          <w:bCs/>
          <w:sz w:val="24"/>
          <w:szCs w:val="24"/>
          <w:u w:val="single"/>
          <w:rtl/>
        </w:rPr>
        <w:t>לאחר מכן</w:t>
      </w:r>
      <w:r w:rsidRPr="002B699B">
        <w:rPr>
          <w:rFonts w:ascii="David" w:hAnsi="David" w:cs="David" w:hint="cs"/>
          <w:b/>
          <w:bCs/>
          <w:sz w:val="24"/>
          <w:szCs w:val="24"/>
          <w:rtl/>
        </w:rPr>
        <w:t xml:space="preserve"> לחץ על תפס המחסנית והוציא אותה מעט ממקומה</w:t>
      </w:r>
      <w:r w:rsidRPr="002B699B">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סדר פעולות זה תואם:</w:t>
      </w:r>
    </w:p>
    <w:p w:rsidR="00272CAC" w:rsidRDefault="00272CAC" w:rsidP="00272CAC">
      <w:pPr>
        <w:pStyle w:val="ac"/>
        <w:spacing w:after="0" w:line="360" w:lineRule="auto"/>
        <w:ind w:left="360"/>
        <w:jc w:val="both"/>
        <w:rPr>
          <w:rFonts w:ascii="David" w:hAnsi="David" w:cs="David"/>
          <w:sz w:val="24"/>
          <w:szCs w:val="24"/>
          <w:u w:val="single"/>
          <w:rtl/>
        </w:rPr>
      </w:pPr>
    </w:p>
    <w:p w:rsidR="00272CAC" w:rsidRDefault="00272CAC" w:rsidP="00272CAC">
      <w:pPr>
        <w:pStyle w:val="ac"/>
        <w:spacing w:after="0" w:line="360" w:lineRule="auto"/>
        <w:ind w:left="360"/>
        <w:jc w:val="both"/>
        <w:rPr>
          <w:rFonts w:ascii="David" w:hAnsi="David" w:cs="David"/>
          <w:sz w:val="24"/>
          <w:szCs w:val="24"/>
          <w:rtl/>
        </w:rPr>
      </w:pPr>
      <w:r w:rsidRPr="002B699B">
        <w:rPr>
          <w:rFonts w:ascii="David" w:hAnsi="David" w:cs="David" w:hint="cs"/>
          <w:sz w:val="24"/>
          <w:szCs w:val="24"/>
          <w:u w:val="single"/>
          <w:rtl/>
        </w:rPr>
        <w:t>ראשית</w:t>
      </w:r>
      <w:r w:rsidRPr="00AD6F28">
        <w:rPr>
          <w:rFonts w:ascii="David" w:hAnsi="David" w:cs="David" w:hint="cs"/>
          <w:sz w:val="24"/>
          <w:szCs w:val="24"/>
          <w:rtl/>
        </w:rPr>
        <w:t>,</w:t>
      </w:r>
      <w:r>
        <w:rPr>
          <w:rFonts w:ascii="David" w:hAnsi="David" w:cs="David" w:hint="cs"/>
          <w:sz w:val="24"/>
          <w:szCs w:val="24"/>
          <w:rtl/>
        </w:rPr>
        <w:t xml:space="preserve"> את טעינת הכדור לבית הבליעה (פעולה שיכולה להתבצע רק כאשר המחסנית </w:t>
      </w:r>
      <w:r w:rsidRPr="001A0413">
        <w:rPr>
          <w:rFonts w:ascii="David" w:hAnsi="David" w:cs="David" w:hint="cs"/>
          <w:sz w:val="24"/>
          <w:szCs w:val="24"/>
          <w:u w:val="single"/>
          <w:rtl/>
        </w:rPr>
        <w:t xml:space="preserve">תפוסה </w:t>
      </w:r>
      <w:r>
        <w:rPr>
          <w:rFonts w:ascii="David" w:hAnsi="David" w:cs="David" w:hint="cs"/>
          <w:sz w:val="24"/>
          <w:szCs w:val="24"/>
          <w:rtl/>
        </w:rPr>
        <w:t>בבית המחסנית). הכוונה לכדור שנורה לעבר המנוח;</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2B699B">
        <w:rPr>
          <w:rFonts w:ascii="David" w:hAnsi="David" w:cs="David" w:hint="cs"/>
          <w:sz w:val="24"/>
          <w:szCs w:val="24"/>
          <w:u w:val="single"/>
          <w:rtl/>
        </w:rPr>
        <w:t>שנית</w:t>
      </w:r>
      <w:r>
        <w:rPr>
          <w:rFonts w:ascii="David" w:hAnsi="David" w:cs="David" w:hint="cs"/>
          <w:sz w:val="24"/>
          <w:szCs w:val="24"/>
          <w:rtl/>
        </w:rPr>
        <w:t xml:space="preserve">, את מצב ההדק (קדמי-דרוך) בתום האירוע, ממש כפי שמצא אותו רפ"ק מקובסקי. הדבר אף תואם את המתואר בסדרה החמישית של פעולות מומחה המאשימה שם תואר סדר פעולות הזהה לזה שנדון כעת;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2B699B">
        <w:rPr>
          <w:rFonts w:ascii="David" w:hAnsi="David" w:cs="David" w:hint="cs"/>
          <w:sz w:val="24"/>
          <w:szCs w:val="24"/>
          <w:u w:val="single"/>
          <w:rtl/>
        </w:rPr>
        <w:t>שלישית</w:t>
      </w:r>
      <w:r>
        <w:rPr>
          <w:rFonts w:ascii="David" w:hAnsi="David" w:cs="David" w:hint="cs"/>
          <w:sz w:val="24"/>
          <w:szCs w:val="24"/>
          <w:rtl/>
        </w:rPr>
        <w:t xml:space="preserve">, את העובדה </w:t>
      </w:r>
      <w:r w:rsidRPr="001A0413">
        <w:rPr>
          <w:rFonts w:ascii="David" w:hAnsi="David" w:cs="David" w:hint="cs"/>
          <w:sz w:val="24"/>
          <w:szCs w:val="24"/>
          <w:u w:val="single"/>
          <w:rtl/>
        </w:rPr>
        <w:t>שלא נמצא כדור בבית הבליעה</w:t>
      </w:r>
      <w:r>
        <w:rPr>
          <w:rFonts w:ascii="David" w:hAnsi="David" w:cs="David" w:hint="cs"/>
          <w:sz w:val="24"/>
          <w:szCs w:val="24"/>
          <w:rtl/>
        </w:rPr>
        <w:t xml:space="preserve"> על ידי רפ"ק מקובסקי. הדבר אף תואם  את תיאור הפעולות בסדרה החמישית של הפעולות שבוצעו על ידי מומחה ההגנה, שגם שם לא נמצא כדור בבית הבליעה בתום הפעולות.</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rPr>
          <w:rFonts w:ascii="David" w:hAnsi="David" w:cs="David"/>
          <w:sz w:val="24"/>
          <w:szCs w:val="24"/>
          <w:rtl/>
        </w:rPr>
      </w:pPr>
      <w:r>
        <w:rPr>
          <w:rFonts w:ascii="David" w:hAnsi="David" w:cs="David" w:hint="cs"/>
          <w:sz w:val="24"/>
          <w:szCs w:val="24"/>
          <w:rtl/>
        </w:rPr>
        <w:t xml:space="preserve">ועדיין, גם לסדרת הפעולות שתוארה לעיל יש נקודת תורפה, שכן על פי תרחיש זה רפ"ק מקובסקי היה אמור למצוא את האקדח בזירת האירוע כאשר המחסנית </w:t>
      </w:r>
      <w:r w:rsidRPr="001A0413">
        <w:rPr>
          <w:rFonts w:ascii="David" w:hAnsi="David" w:cs="David" w:hint="cs"/>
          <w:sz w:val="24"/>
          <w:szCs w:val="24"/>
          <w:u w:val="single"/>
          <w:rtl/>
        </w:rPr>
        <w:t>אינה</w:t>
      </w:r>
      <w:r>
        <w:rPr>
          <w:rFonts w:ascii="David" w:hAnsi="David" w:cs="David" w:hint="cs"/>
          <w:sz w:val="24"/>
          <w:szCs w:val="24"/>
          <w:rtl/>
        </w:rPr>
        <w:t xml:space="preserve"> תפוסה בתפס המחסנית. </w:t>
      </w:r>
    </w:p>
    <w:p w:rsidR="00272CAC" w:rsidRDefault="00272CAC" w:rsidP="00272CAC">
      <w:pPr>
        <w:pStyle w:val="ac"/>
        <w:spacing w:after="0" w:line="360" w:lineRule="auto"/>
        <w:ind w:left="360"/>
        <w:rPr>
          <w:rFonts w:ascii="David" w:hAnsi="David" w:cs="David"/>
          <w:sz w:val="24"/>
          <w:szCs w:val="24"/>
          <w:rtl/>
        </w:rPr>
      </w:pPr>
    </w:p>
    <w:p w:rsidR="00272CAC" w:rsidRDefault="00272CAC" w:rsidP="00272CAC">
      <w:pPr>
        <w:pStyle w:val="ac"/>
        <w:spacing w:after="0" w:line="360" w:lineRule="auto"/>
        <w:ind w:left="360"/>
        <w:rPr>
          <w:rFonts w:ascii="David" w:hAnsi="David" w:cs="David"/>
          <w:sz w:val="24"/>
          <w:szCs w:val="24"/>
          <w:rtl/>
        </w:rPr>
      </w:pPr>
      <w:r>
        <w:rPr>
          <w:rFonts w:ascii="David" w:hAnsi="David" w:cs="David" w:hint="cs"/>
          <w:sz w:val="24"/>
          <w:szCs w:val="24"/>
          <w:rtl/>
        </w:rPr>
        <w:t xml:space="preserve">בהקשר זה ובמענה לקושי לעיל אעלה מספר אפשרויות, כשלטעמי כל אחת מהן סבירה והגיונית - </w:t>
      </w:r>
    </w:p>
    <w:p w:rsidR="00272CAC" w:rsidRDefault="00272CAC" w:rsidP="00272CAC">
      <w:pPr>
        <w:pStyle w:val="ac"/>
        <w:spacing w:after="0" w:line="360" w:lineRule="auto"/>
        <w:ind w:left="360"/>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ראשית, רפ"ק מקובסקי אמנם ציין שמצא את האקדח כשהמחסנית בפנים ותפוסה בתפס המחסנית, אך כשהוא נדרש לדקדק בכך ולדייק הוא סייג את עצמו בהגינות וציין כי "למיטב זכרונו" המחסנית לא היתה משוחררת. משמע, הוא לא היה בטוח בכך לחלוטין. בהמשך הוא אף ציין כי אינו זוכר אם היא היתה "הדוקה" בבאר המחסנית. עוד אפנה לכך שלצערנו, פעולת הפריקה שביצע רפ"ק מקובסקי לא תועדה, מה שיכול היה לשפוך אור בנדון. המאשימה טענה כי פעולת הפריקה בוצעה לא ליד המיטה עליה היה מונח הנשק אלא צמוד לקיר אחר בחדר, ולכן אם המחסנית לא היתה תפוסה יש להניח שהיא היתה נופלת על הארץ. מדובר בתרחיש הגיוני, אך כפי שניתן היה להתרשם בדיון שהתקיים במטווח השאלה אם המחסנית תיפול על הארץ אם לאו, תלויה בין היתר באופן שבו מוחזק האקדח, במנח כף היד והזרתות ביחס לעקב המחסנית ובנתונים נוספים שבהקשר לאירוע הקונקרטי לא הובררו עד תום וספק אם ניתן היה לבררם.</w:t>
      </w:r>
    </w:p>
    <w:p w:rsidR="00272CAC" w:rsidRDefault="00272CAC" w:rsidP="00272CAC">
      <w:pPr>
        <w:pStyle w:val="ac"/>
        <w:spacing w:after="0" w:line="360" w:lineRule="auto"/>
        <w:ind w:left="360"/>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שנית, לטעמי לא מן הנמנע שהנאשם עצמו לאחר הירי במנוח ועוד טרם הניח את האקדח על בטנו של המנוח, "דחף" את המחסנית במעלה באר המחסנית כך שהיא שוב נתפסה בתפס המחסנית. </w:t>
      </w:r>
      <w:r>
        <w:rPr>
          <w:rFonts w:ascii="David" w:hAnsi="David" w:cs="David" w:hint="cs"/>
          <w:sz w:val="24"/>
          <w:szCs w:val="24"/>
          <w:rtl/>
        </w:rPr>
        <w:lastRenderedPageBreak/>
        <w:t>ייתכן ועשה זאת כמעשה "אוטומטי" ו"תמים"; וייתכן ועשה כן זאת כחלק מתהליך בדיית סיפור ה"התאבדות" אותו יש להניח כבר החל רוקם במוחו.</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עוד אעיר, שלא מן הנמנע ש"היפוך" סדר הפעולות (היינו שדריכת הנשק קדמה ללחיצה על תפס המחסנית), מעבר לכך שייתכן ובוצע על ידי הנאשם באופן לא מודע או לא מתוכנן; בוצע (גם) </w:t>
      </w:r>
      <w:r w:rsidRPr="006B6EC0">
        <w:rPr>
          <w:rFonts w:ascii="David" w:hAnsi="David" w:cs="David" w:hint="cs"/>
          <w:sz w:val="24"/>
          <w:szCs w:val="24"/>
          <w:u w:val="single"/>
          <w:rtl/>
        </w:rPr>
        <w:t>ברצף מהיר אחד כשההפרש בין שתי הפעולות היה מינימאלי ביותר</w:t>
      </w:r>
      <w:r>
        <w:rPr>
          <w:rFonts w:ascii="David" w:hAnsi="David" w:cs="David" w:hint="cs"/>
          <w:sz w:val="24"/>
          <w:szCs w:val="24"/>
          <w:u w:val="single"/>
          <w:rtl/>
        </w:rPr>
        <w:t>, של שבריר שניה,</w:t>
      </w:r>
      <w:r w:rsidRPr="006B6EC0">
        <w:rPr>
          <w:rFonts w:ascii="David" w:hAnsi="David" w:cs="David" w:hint="cs"/>
          <w:sz w:val="24"/>
          <w:szCs w:val="24"/>
          <w:u w:val="single"/>
          <w:rtl/>
        </w:rPr>
        <w:t xml:space="preserve"> ובאופן שהנאשם רק סבר שהלחיצה על תפס המחסנית קדמה לדריכת הנשק</w:t>
      </w:r>
      <w:r>
        <w:rPr>
          <w:rFonts w:ascii="David" w:hAnsi="David" w:cs="David" w:hint="cs"/>
          <w:sz w:val="24"/>
          <w:szCs w:val="24"/>
          <w:rtl/>
        </w:rPr>
        <w:t>. ייתכן ויש בכך לתת הסבר ל"התעקשותו" של הנאשם כי הוא לחץ על תפס המחסנית ורק לאחר מכן שדרך את הנשק.</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D75804">
        <w:rPr>
          <w:rFonts w:ascii="David" w:hAnsi="David" w:cs="David" w:hint="cs"/>
          <w:sz w:val="24"/>
          <w:szCs w:val="24"/>
          <w:rtl/>
        </w:rPr>
        <w:t>ההגנה הצביעה על אפשרות נוספת להכנסת המחסנית למקומה</w:t>
      </w:r>
      <w:r>
        <w:rPr>
          <w:rFonts w:ascii="David" w:hAnsi="David" w:cs="David" w:hint="cs"/>
          <w:sz w:val="24"/>
          <w:szCs w:val="24"/>
          <w:rtl/>
        </w:rPr>
        <w:t>,</w:t>
      </w:r>
      <w:r w:rsidRPr="00D75804">
        <w:rPr>
          <w:rFonts w:ascii="David" w:hAnsi="David" w:cs="David" w:hint="cs"/>
          <w:sz w:val="24"/>
          <w:szCs w:val="24"/>
          <w:rtl/>
        </w:rPr>
        <w:t xml:space="preserve"> וזאת כאשר רס"ב אדרי נטל את האקדח מגופת המנוח והעבירו למיטה העליונה (ר' עמ' 42 לסיכומי ההגנה). כפי שלא אוכל לשלול את האפשרויות לעיל, כך הדבר גם לגבי אפשרות זו.</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Pr="00AC11FB" w:rsidRDefault="00272CAC" w:rsidP="00272CAC">
      <w:pPr>
        <w:pStyle w:val="ac"/>
        <w:numPr>
          <w:ilvl w:val="0"/>
          <w:numId w:val="14"/>
        </w:numPr>
        <w:spacing w:after="0" w:line="360" w:lineRule="auto"/>
        <w:jc w:val="both"/>
        <w:rPr>
          <w:rFonts w:ascii="David" w:hAnsi="David" w:cs="David"/>
          <w:b/>
          <w:bCs/>
          <w:sz w:val="24"/>
          <w:szCs w:val="24"/>
        </w:rPr>
      </w:pPr>
      <w:r w:rsidRPr="00AC11FB">
        <w:rPr>
          <w:rFonts w:ascii="David" w:hAnsi="David" w:cs="David" w:hint="cs"/>
          <w:b/>
          <w:bCs/>
          <w:sz w:val="24"/>
          <w:szCs w:val="24"/>
          <w:rtl/>
        </w:rPr>
        <w:t xml:space="preserve">זה המקום להתייחס לסוגיה ה"מחַבֶּרֶת" בין החלק העובדתי לבין החלק המשפטי </w:t>
      </w:r>
      <w:r w:rsidRPr="00AC11FB">
        <w:rPr>
          <w:rFonts w:ascii="David" w:hAnsi="David" w:cs="David"/>
          <w:b/>
          <w:bCs/>
          <w:sz w:val="24"/>
          <w:szCs w:val="24"/>
          <w:rtl/>
        </w:rPr>
        <w:t>–</w:t>
      </w:r>
      <w:r w:rsidRPr="00AC11FB">
        <w:rPr>
          <w:rFonts w:ascii="David" w:hAnsi="David" w:cs="David" w:hint="cs"/>
          <w:b/>
          <w:bCs/>
          <w:sz w:val="24"/>
          <w:szCs w:val="24"/>
          <w:rtl/>
        </w:rPr>
        <w:t xml:space="preserve"> והיא סוגיית מהימנותו ואמינותו של הנאשם.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הקורא את הכרעת דין זו כבר הבין, יש להניח, כי מידת המהימנות שניתן לייחס לנאשם אינה גבוהה לשון המעטה. מדובר במי שמהרגע הנורא בו ירה למוות במנוח, הֵחֵל במסכת שקרים שנועדו להרחיק ממנו את האשמה. הנאשם אף לא בחל בהעלאת רמיזות כאילו "התאבדות" המנוח קשורה לכך שביום האירוע המנוח היה עצבני. הנאשם אף הפנה לכך כי ביום האירוע המנוח שוחח עם אביו בטלפון ואמר לו שהוא מעוניין לעזוב את היחידה (ר' הודעת הנאשם ת/1 גיליון 2 שורות 11-13). מדובר בחטא מוסרי של הנאשם המצטרף לפשעיו הקבועים בחוק. ניתן אף להפנות בהקשר זה לפוסט שהנאשם העלה באינסטגרם זמן קצר לאחר מות המנוח, והדבר מחזק את מסקנתי בדבר אי מהימנות הנאשם.</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cs="David"/>
          <w:sz w:val="24"/>
          <w:szCs w:val="24"/>
          <w:rtl/>
        </w:rPr>
      </w:pPr>
      <w:r>
        <w:rPr>
          <w:rFonts w:ascii="David" w:hAnsi="David" w:cs="David" w:hint="cs"/>
          <w:sz w:val="24"/>
          <w:szCs w:val="24"/>
          <w:rtl/>
        </w:rPr>
        <w:t xml:space="preserve">הדרך בה נהג בשלב הראשון של שמיעת ההליך היתה המשך ישיר להתנהלות שתוארה לעיל. הנאשם המשיך לעמוד על טענת האליבי וגם כאשר הגיעו חבריו ליחידה ותיארו את מעשיו הנכללים כיום באישום 2, טען כלפיהם באמצעות באי כוחו כי הם משקרים. בחירת קו הגנה זה, הגם שהיא לגיטימית בעולם המשפט, מעידה בעיקר על אופיו של הנאשם ומשליכה כאמור על מהימנותו. בפן הראייתי גרידא, הגרסה שמסר בבית המשפט היא גרסה כבושה על כל מה שכרוך בכך (ור' לדוגמה בהקשר זה, האמור בע"פ 8823/12 </w:t>
      </w:r>
      <w:r>
        <w:rPr>
          <w:rFonts w:ascii="Miriam" w:hAnsi="Miriam" w:cs="Miriam"/>
          <w:sz w:val="24"/>
          <w:szCs w:val="24"/>
          <w:rtl/>
        </w:rPr>
        <w:t>שבתאי נ' מדינת ישראל</w:t>
      </w:r>
      <w:r>
        <w:rPr>
          <w:rFonts w:cs="David"/>
          <w:sz w:val="24"/>
          <w:szCs w:val="24"/>
          <w:rtl/>
        </w:rPr>
        <w:t xml:space="preserve">, </w:t>
      </w:r>
      <w:r>
        <w:rPr>
          <w:rFonts w:cs="David" w:hint="eastAsia"/>
          <w:sz w:val="24"/>
          <w:szCs w:val="24"/>
          <w:rtl/>
        </w:rPr>
        <w:t>פסקה</w:t>
      </w:r>
      <w:r>
        <w:rPr>
          <w:rFonts w:cs="David"/>
          <w:sz w:val="24"/>
          <w:szCs w:val="24"/>
          <w:rtl/>
        </w:rPr>
        <w:t xml:space="preserve"> 29 </w:t>
      </w:r>
      <w:r w:rsidRPr="007D0B80">
        <w:rPr>
          <w:rFonts w:ascii="Times New Roman" w:hAnsi="Times New Roman" w:cs="David"/>
          <w:szCs w:val="24"/>
          <w:rtl/>
        </w:rPr>
        <w:t xml:space="preserve"> </w:t>
      </w:r>
      <w:r>
        <w:rPr>
          <w:rFonts w:cs="David"/>
          <w:sz w:val="24"/>
          <w:szCs w:val="24"/>
          <w:rtl/>
        </w:rPr>
        <w:t xml:space="preserve">(1.7.14)).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lastRenderedPageBreak/>
        <w:t xml:space="preserve">בהמשך, משלקח הנאשם אחריות על מעשיו וכשעלה להעיד להגנתו התאפיינה עדותו ב"זיגזוג" בלתי פוסק בגרסאות שמסר. הבאנו לעיל תמצית של אותן גרסאות. כך, הפנינו שבתחילה טען כי נהג לפרוק את אקדחו מידי ערב והירי לעבר המנוח היה חלק מאותו הליך "פריקה". רק לאחר מכן ולאחר שהחליף עוד מיני גרסאות משנה שלא נפרטן כדי לחסוך זאת מהקוראים, אישר כי מטרתו באותו ערב היתה אחת </w:t>
      </w:r>
      <w:r>
        <w:rPr>
          <w:rFonts w:ascii="David" w:hAnsi="David" w:cs="David"/>
          <w:sz w:val="24"/>
          <w:szCs w:val="24"/>
          <w:rtl/>
        </w:rPr>
        <w:t>–</w:t>
      </w:r>
      <w:r>
        <w:rPr>
          <w:rFonts w:ascii="David" w:hAnsi="David" w:cs="David" w:hint="cs"/>
          <w:sz w:val="24"/>
          <w:szCs w:val="24"/>
          <w:rtl/>
        </w:rPr>
        <w:t xml:space="preserve"> "משחק" בנשק, כשהכוונה לאותה "סחיטה" של ההדק עד ביצוע נקירה.</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ועדיין, איננו פטורים מהתייחסות לגרסה הבסיסית </w:t>
      </w:r>
      <w:r>
        <w:rPr>
          <w:rFonts w:ascii="David" w:hAnsi="David" w:cs="David"/>
          <w:sz w:val="24"/>
          <w:szCs w:val="24"/>
          <w:rtl/>
        </w:rPr>
        <w:t>–</w:t>
      </w:r>
      <w:r>
        <w:rPr>
          <w:rFonts w:ascii="David" w:hAnsi="David" w:cs="David" w:hint="cs"/>
          <w:sz w:val="24"/>
          <w:szCs w:val="24"/>
          <w:rtl/>
        </w:rPr>
        <w:t xml:space="preserve"> עליה הסתמך הנאשם בהליך זה </w:t>
      </w:r>
      <w:r>
        <w:rPr>
          <w:rFonts w:ascii="David" w:hAnsi="David" w:cs="David"/>
          <w:sz w:val="24"/>
          <w:szCs w:val="24"/>
          <w:rtl/>
        </w:rPr>
        <w:t>–</w:t>
      </w:r>
      <w:r>
        <w:rPr>
          <w:rFonts w:ascii="David" w:hAnsi="David" w:cs="David" w:hint="cs"/>
          <w:sz w:val="24"/>
          <w:szCs w:val="24"/>
          <w:rtl/>
        </w:rPr>
        <w:t xml:space="preserve"> והיא זו שמסר למדובב. כפי שהורחב לעיל, המאשימה ביססה את כתב האישום על גרסה זו ואף כינתה אותה ככזו שניתנה באופן "</w:t>
      </w:r>
      <w:r w:rsidRPr="00803E13">
        <w:rPr>
          <w:rFonts w:ascii="David" w:hAnsi="David" w:cs="David" w:hint="cs"/>
          <w:b/>
          <w:bCs/>
          <w:sz w:val="24"/>
          <w:szCs w:val="24"/>
          <w:rtl/>
        </w:rPr>
        <w:t>חופשי לחלוטין ומרצון</w:t>
      </w:r>
      <w:r>
        <w:rPr>
          <w:rFonts w:ascii="David" w:hAnsi="David" w:cs="David" w:hint="cs"/>
          <w:sz w:val="24"/>
          <w:szCs w:val="24"/>
          <w:rtl/>
        </w:rPr>
        <w:t xml:space="preserve">" (עמ' 17 פסקה 7 לסיכומי המאשימה). לשלמות התמונה אדגיש כי המאשימה לא טענה כי </w:t>
      </w:r>
      <w:r w:rsidRPr="00803E13">
        <w:rPr>
          <w:rFonts w:ascii="David" w:hAnsi="David" w:cs="David" w:hint="cs"/>
          <w:sz w:val="24"/>
          <w:szCs w:val="24"/>
          <w:u w:val="single"/>
          <w:rtl/>
        </w:rPr>
        <w:t>כל</w:t>
      </w:r>
      <w:r>
        <w:rPr>
          <w:rFonts w:ascii="David" w:hAnsi="David" w:cs="David" w:hint="cs"/>
          <w:sz w:val="24"/>
          <w:szCs w:val="24"/>
          <w:rtl/>
        </w:rPr>
        <w:t xml:space="preserve"> דבריו של הנאשם למדובב הם נכונים, ואף ציינה במפורש כי בדבריו למדובב ניסה הנאשם "לשפר" את מצבו (ר' עמוד 78 פסקה 7 לסיכומי המאשימה). עם זאת עולה בבירור כי הערכת המאשימה היתה כי באופן כללי דברי הנאשם בפני המדובב מתארים תמונה כוללת נכונה (גם אם לא מדויקת לפרטי הפרטים) של מהלך הדברים שהתרחשו.</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זו גם היתה התרשמותי הכללית מהנאשם. היינו, גרסתו למדובב תואמת </w:t>
      </w:r>
      <w:r w:rsidRPr="00F7508E">
        <w:rPr>
          <w:rFonts w:ascii="David" w:hAnsi="David" w:cs="David" w:hint="cs"/>
          <w:sz w:val="24"/>
          <w:szCs w:val="24"/>
          <w:u w:val="single"/>
          <w:rtl/>
        </w:rPr>
        <w:t>באופן כללי</w:t>
      </w:r>
      <w:r>
        <w:rPr>
          <w:rFonts w:ascii="David" w:hAnsi="David" w:cs="David" w:hint="cs"/>
          <w:sz w:val="24"/>
          <w:szCs w:val="24"/>
          <w:rtl/>
        </w:rPr>
        <w:t xml:space="preserve">  למציאות, במובן זה שהאירוע במהלכו נורה המנוח למוות, התרחש כאשר הנאשם "שיחק" באקדח וכאשר עמד סמוך למנוח ששכב במיטתו. עם זאת כאשר "נכנסים לפרטים" עלה בבירור כי גרסתו אינה תואמת למציאות באופן מלא. התייחסתי בהרחבה לתיאור הנאשם בדבר סדר הפעולות בנשק שבוצע לכאורה על ידי הנאשם ושהובא בכתב האישום. קבעתי שעל פני הדברים אין היתכנות לתיאור זה וכן ציינתי שעל פני הדברים סדר הפעולות היה הפוך, במובן זה שהנאשם ככל הנראה דרך את הנשק ורק לאחר מכן (גם אם חלף רק שבריר שניה בין הפעולות) לחץ על תפס המחסנית. הערְתי, שלא מן הנמנע שהנאשם לא שיקר במודע ביחס אליה, וייתכן שמשום המהירות בה בוצעו הפעולות כך הוא זכר את הדברים. אף ייתכן שתרמה לכך הסיטואציה בה היה, שאין חולק שהיתה מפתיעה מבחינתו והכניסה אותו ל"הלם" מסוים, נתון ש"תרם" לכך שהנאשם לא זכר את סדר הפעולות המדויק, ובהמשך אלה "התקבעו" בהתאם למה שסיפר למדובב.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1D1E28">
        <w:rPr>
          <w:rFonts w:ascii="David" w:hAnsi="David" w:cs="David" w:hint="cs"/>
          <w:b/>
          <w:bCs/>
          <w:sz w:val="24"/>
          <w:szCs w:val="24"/>
          <w:rtl/>
        </w:rPr>
        <w:t>סיכום ביניים עד כאן מעלה</w:t>
      </w:r>
      <w:r>
        <w:rPr>
          <w:rFonts w:ascii="David" w:hAnsi="David" w:cs="David" w:hint="cs"/>
          <w:sz w:val="24"/>
          <w:szCs w:val="24"/>
          <w:rtl/>
        </w:rPr>
        <w:t>,</w:t>
      </w:r>
      <w:r w:rsidRPr="00803E13">
        <w:rPr>
          <w:rFonts w:ascii="David" w:hAnsi="David" w:cs="David" w:hint="cs"/>
          <w:sz w:val="24"/>
          <w:szCs w:val="24"/>
          <w:rtl/>
        </w:rPr>
        <w:t xml:space="preserve"> כי הנאשם</w:t>
      </w:r>
      <w:r>
        <w:rPr>
          <w:rFonts w:ascii="David" w:hAnsi="David" w:cs="David" w:hint="cs"/>
          <w:sz w:val="24"/>
          <w:szCs w:val="24"/>
          <w:rtl/>
        </w:rPr>
        <w:t xml:space="preserve"> ביצע סדרת פעולות שככל הנראה כללו את דריכת הנשק; ורק אז לחיצה על תפס המחסנית; לאחר מכן </w:t>
      </w:r>
      <w:r>
        <w:rPr>
          <w:rFonts w:ascii="David" w:hAnsi="David" w:cs="David"/>
          <w:sz w:val="24"/>
          <w:szCs w:val="24"/>
          <w:rtl/>
        </w:rPr>
        <w:t>–</w:t>
      </w:r>
      <w:r>
        <w:rPr>
          <w:rFonts w:ascii="David" w:hAnsi="David" w:cs="David" w:hint="cs"/>
          <w:sz w:val="24"/>
          <w:szCs w:val="24"/>
          <w:rtl/>
        </w:rPr>
        <w:t xml:space="preserve"> כמתואר על ידי הנאשם </w:t>
      </w:r>
      <w:r>
        <w:rPr>
          <w:rFonts w:ascii="David" w:hAnsi="David" w:cs="David"/>
          <w:sz w:val="24"/>
          <w:szCs w:val="24"/>
          <w:rtl/>
        </w:rPr>
        <w:t>–</w:t>
      </w:r>
      <w:r>
        <w:rPr>
          <w:rFonts w:ascii="David" w:hAnsi="David" w:cs="David" w:hint="cs"/>
          <w:sz w:val="24"/>
          <w:szCs w:val="24"/>
          <w:rtl/>
        </w:rPr>
        <w:t xml:space="preserve"> "משחק" בהדק ואז לחיצה על ההדק שהובילה לירי שפגע בראשו של המנוח.</w:t>
      </w:r>
    </w:p>
    <w:p w:rsidR="00272CAC" w:rsidRPr="00892FAC" w:rsidRDefault="00272CAC" w:rsidP="00272CAC">
      <w:pPr>
        <w:spacing w:line="360" w:lineRule="auto"/>
        <w:jc w:val="both"/>
        <w:rPr>
          <w:rFonts w:ascii="David" w:hAnsi="David"/>
          <w:rtl/>
        </w:rPr>
      </w:pPr>
    </w:p>
    <w:p w:rsidR="00272CAC" w:rsidRPr="00F7508E" w:rsidRDefault="00272CAC" w:rsidP="00272CAC">
      <w:pPr>
        <w:spacing w:line="360" w:lineRule="auto"/>
        <w:ind w:left="360"/>
        <w:jc w:val="both"/>
        <w:rPr>
          <w:rFonts w:ascii="David" w:hAnsi="David"/>
          <w:b/>
          <w:bCs/>
          <w:rtl/>
        </w:rPr>
      </w:pPr>
      <w:r>
        <w:rPr>
          <w:rFonts w:ascii="David" w:hAnsi="David" w:hint="cs"/>
          <w:rtl/>
        </w:rPr>
        <w:lastRenderedPageBreak/>
        <w:t xml:space="preserve">ציינתי שמדובר בסדרת הפעולות שככל הנראה התרחשה, והפניתי לנקודות התורפה שבכל תרחיש. </w:t>
      </w:r>
      <w:r w:rsidRPr="00F7508E">
        <w:rPr>
          <w:rFonts w:ascii="David" w:hAnsi="David" w:hint="cs"/>
          <w:b/>
          <w:bCs/>
          <w:rtl/>
        </w:rPr>
        <w:t xml:space="preserve">כך או כך ולפי כל תרחיש אפשרי, מדובר בסדרת פעולות אסורות ומסכנות חיים, שהנאשם ידע כי הן כאלה. </w:t>
      </w:r>
      <w:r w:rsidRPr="00892FAC">
        <w:rPr>
          <w:rFonts w:ascii="David" w:hAnsi="David" w:hint="cs"/>
          <w:b/>
          <w:bCs/>
          <w:u w:val="single"/>
          <w:rtl/>
        </w:rPr>
        <w:t>לכן, איני סבור כי עמימות עובדתית מסוימת זו, או העובדה שכתב האישום אינו מתאר במדויק את שהתרחש, מסייעת לנאשם</w:t>
      </w:r>
      <w:r w:rsidRPr="00F7508E">
        <w:rPr>
          <w:rFonts w:ascii="David" w:hAnsi="David" w:hint="cs"/>
          <w:b/>
          <w:bCs/>
          <w:rtl/>
        </w:rPr>
        <w:t>.</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זאת ועוד, ייתכן וקיימים תרחישים נוספים מלבד אלה שציינתי אך גם אלה אינם מסייעים לנאשם. הנאשם לא טען, לדוגמה, שהנשק "סתם כך" פלט כדור. מאליו יוצא </w:t>
      </w:r>
      <w:r>
        <w:rPr>
          <w:rFonts w:ascii="David" w:hAnsi="David"/>
          <w:rtl/>
        </w:rPr>
        <w:t>–</w:t>
      </w:r>
      <w:r>
        <w:rPr>
          <w:rFonts w:ascii="David" w:hAnsi="David" w:hint="cs"/>
          <w:rtl/>
        </w:rPr>
        <w:t xml:space="preserve"> נוכח העובדה שהנשק נבדק ונמצא תקין </w:t>
      </w:r>
      <w:r>
        <w:rPr>
          <w:rFonts w:ascii="David" w:hAnsi="David"/>
          <w:rtl/>
        </w:rPr>
        <w:t>–</w:t>
      </w:r>
      <w:r>
        <w:rPr>
          <w:rFonts w:ascii="David" w:hAnsi="David" w:hint="cs"/>
          <w:rtl/>
        </w:rPr>
        <w:t xml:space="preserve"> כי גרסה זו לא היתה מסייעת לו. ומנגד, הנאשם אף לא טען </w:t>
      </w:r>
      <w:r>
        <w:rPr>
          <w:rFonts w:ascii="David" w:hAnsi="David"/>
          <w:rtl/>
        </w:rPr>
        <w:t>–</w:t>
      </w:r>
      <w:r>
        <w:rPr>
          <w:rFonts w:ascii="David" w:hAnsi="David" w:hint="cs"/>
          <w:rtl/>
        </w:rPr>
        <w:t xml:space="preserve"> כדוגמה לתרחיש שהיה ממקם אותו ברף חומרה ואישום גבוה יותר </w:t>
      </w:r>
      <w:r>
        <w:rPr>
          <w:rFonts w:ascii="David" w:hAnsi="David"/>
          <w:rtl/>
        </w:rPr>
        <w:t>–</w:t>
      </w:r>
      <w:r>
        <w:rPr>
          <w:rFonts w:ascii="David" w:hAnsi="David" w:hint="cs"/>
          <w:rtl/>
        </w:rPr>
        <w:t xml:space="preserve"> כי דרך את הנשק, כוונו לעבר המנוח ולחץ על ההדק (ללא הוצאת המחסנית או ללא כל פעולה נלווית אחרת שהוא סבר שיכולה להפחית את הסכנה שבנשק).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במלים אחרות ובפן העובדתי גרידא, הנאשם ביצע מה שמכונה "משחק" בנשק. הפניתי לסדרת הפעולות שעל פני הדברים בוצעה, אך גם אם שגיתי בתיאור סדרת הפעולות לעיל, או גם אם כתב האישום אינו משקף במדויק את שהתרחש, הדבר אינו מעלה ואינו מוריד לעניין התוצאה המשפטית. </w:t>
      </w:r>
      <w:r w:rsidRPr="00892FAC">
        <w:rPr>
          <w:rFonts w:ascii="David" w:hAnsi="David" w:hint="cs"/>
          <w:u w:val="single"/>
          <w:rtl/>
        </w:rPr>
        <w:t>החשוב הוא שהמאשימה טענה, וזו היתה אף גרסת</w:t>
      </w:r>
      <w:r>
        <w:rPr>
          <w:rFonts w:ascii="David" w:hAnsi="David" w:hint="cs"/>
          <w:u w:val="single"/>
          <w:rtl/>
        </w:rPr>
        <w:t xml:space="preserve"> הנאשם </w:t>
      </w:r>
      <w:r w:rsidRPr="00892FAC">
        <w:rPr>
          <w:rFonts w:ascii="David" w:hAnsi="David" w:hint="cs"/>
          <w:u w:val="single"/>
          <w:rtl/>
        </w:rPr>
        <w:t>במהלך המשפט, כי הוא "שיחק" בנשק עובר לירי</w:t>
      </w:r>
      <w:r>
        <w:rPr>
          <w:rFonts w:ascii="David" w:hAnsi="David" w:hint="cs"/>
          <w:u w:val="single"/>
          <w:rtl/>
        </w:rPr>
        <w:t>,</w:t>
      </w:r>
      <w:r w:rsidRPr="00892FAC">
        <w:rPr>
          <w:rFonts w:ascii="David" w:hAnsi="David" w:hint="cs"/>
          <w:u w:val="single"/>
          <w:rtl/>
        </w:rPr>
        <w:t xml:space="preserve"> ולכן הפער שתואר לעיל, באם קיים, לא פגע בהגנתו של הנאשם וניתנה לו הזדמנות מלאה להתגונן מפני מסקנותיי לעיל, שלמעשה נסמכות על עדותו של לא אחר מאשר מומחה ההגנה.</w:t>
      </w:r>
      <w:r>
        <w:rPr>
          <w:rFonts w:ascii="David" w:hAnsi="David" w:hint="cs"/>
          <w:rtl/>
        </w:rPr>
        <w:t xml:space="preserve">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זאת ועוד, ניתן לטעמי לדמות את הסיטואציה בה אנו מצויים למי שעומד לדין עקב אובדן שליטה ברכבו שהוביל לתאונת דרכים קטלנית. בהנחה שאובדן שליטה זה נגרם עקב "התעסקות" ממושכת של הנהג במכשיר הטלפון תוך כדי הנהיגה, אין זה משנה במה בדיוק הוא "התעסק" </w:t>
      </w:r>
      <w:r>
        <w:rPr>
          <w:rFonts w:ascii="David" w:hAnsi="David"/>
          <w:rtl/>
        </w:rPr>
        <w:t>–</w:t>
      </w:r>
      <w:r>
        <w:rPr>
          <w:rFonts w:ascii="David" w:hAnsi="David" w:hint="cs"/>
          <w:rtl/>
        </w:rPr>
        <w:t xml:space="preserve"> האם בשליחת מסרונים או צפייה בסרטונים. מדובר בסוגיה עובדתית שאינה אמורה להשליך על מהות המעשים ועל התוצאה המשפטית הנגזרת מהם. </w:t>
      </w:r>
    </w:p>
    <w:p w:rsidR="00272CAC" w:rsidRDefault="00272CAC" w:rsidP="00272CAC">
      <w:pPr>
        <w:spacing w:line="360" w:lineRule="auto"/>
        <w:ind w:left="360"/>
        <w:jc w:val="both"/>
        <w:rPr>
          <w:rFonts w:ascii="David" w:hAnsi="David"/>
          <w:rtl/>
        </w:rPr>
      </w:pPr>
    </w:p>
    <w:p w:rsidR="00272CAC" w:rsidRPr="00CA43BF" w:rsidRDefault="00272CAC" w:rsidP="00272CAC">
      <w:pPr>
        <w:spacing w:line="360" w:lineRule="auto"/>
        <w:ind w:left="360"/>
        <w:jc w:val="both"/>
        <w:rPr>
          <w:rFonts w:ascii="David" w:hAnsi="David"/>
          <w:rtl/>
        </w:rPr>
      </w:pPr>
      <w:r>
        <w:rPr>
          <w:rFonts w:ascii="David" w:hAnsi="David" w:hint="cs"/>
          <w:rtl/>
        </w:rPr>
        <w:t xml:space="preserve">ודוק. בהמשך וכשאבחן את היסוד הנפשי בו אחז הנאשם בעת האירוע, אניח כי הנאשם לכל הפחות </w:t>
      </w:r>
      <w:r w:rsidRPr="00820933">
        <w:rPr>
          <w:rFonts w:ascii="David" w:hAnsi="David" w:hint="cs"/>
          <w:u w:val="single"/>
          <w:rtl/>
        </w:rPr>
        <w:t>סבר</w:t>
      </w:r>
      <w:r>
        <w:rPr>
          <w:rFonts w:ascii="David" w:hAnsi="David" w:hint="cs"/>
          <w:rtl/>
        </w:rPr>
        <w:t xml:space="preserve"> כי הלחיצה על תפס המחסנית והוצאת המחסנית ("קצת הוצאתי") </w:t>
      </w:r>
      <w:r w:rsidRPr="00820933">
        <w:rPr>
          <w:rFonts w:ascii="David" w:hAnsi="David" w:hint="cs"/>
          <w:u w:val="single"/>
          <w:rtl/>
        </w:rPr>
        <w:t>קדמה</w:t>
      </w:r>
      <w:r>
        <w:rPr>
          <w:rFonts w:ascii="David" w:hAnsi="David" w:hint="cs"/>
          <w:rtl/>
        </w:rPr>
        <w:t xml:space="preserve"> בסדר הכרונולוגי לפעולת דריכת הנשק. </w:t>
      </w:r>
      <w:r w:rsidRPr="00892FAC">
        <w:rPr>
          <w:rFonts w:ascii="David" w:hAnsi="David" w:hint="cs"/>
          <w:u w:val="single"/>
          <w:rtl/>
        </w:rPr>
        <w:t>זו היתה טענת המאשימה בכתב האישום, והנחה אחרת תחמיר את מצבו של הנאשם מעבר למה שנטען בכתב האישום</w:t>
      </w:r>
      <w:r>
        <w:rPr>
          <w:rFonts w:ascii="David" w:hAnsi="David" w:hint="cs"/>
          <w:rtl/>
        </w:rPr>
        <w:t xml:space="preserve">. איני סבור שניתן להניח הנחות שכאלה, אף אם הן מבוססות, לרעת הנאשם וזאת בהקשר לניתוח המשפטי, בוודאי לא בשלב זה של ההליך ולאחר שהסתיימה שמיעת הראיות ולנאשם עצמו לא התאפשר להגיב לכך בעדותו (ולחשיבות ניסוחו של כתב האישום מחד, ולמצבים בהם ייתכן פער בין הנטען בכתב האישום לבין קביעות </w:t>
      </w:r>
      <w:r>
        <w:rPr>
          <w:rFonts w:ascii="David" w:hAnsi="David" w:hint="cs"/>
          <w:rtl/>
        </w:rPr>
        <w:lastRenderedPageBreak/>
        <w:t>בית המשפט, מנגד, ר' האמור ב</w:t>
      </w:r>
      <w:r w:rsidRPr="00CA43BF">
        <w:rPr>
          <w:rFonts w:ascii="David" w:hAnsi="David" w:hint="cs"/>
          <w:rtl/>
        </w:rPr>
        <w:t xml:space="preserve">רע"פ 2581/14 </w:t>
      </w:r>
      <w:r w:rsidRPr="00CA43BF">
        <w:rPr>
          <w:rFonts w:ascii="Miriam" w:hAnsi="Miriam" w:cs="Miriam"/>
          <w:rtl/>
        </w:rPr>
        <w:t>יקותיאלי נ' מדינת ישראל</w:t>
      </w:r>
      <w:r w:rsidRPr="00CA43BF">
        <w:rPr>
          <w:rFonts w:ascii="David" w:hAnsi="David" w:hint="cs"/>
          <w:rtl/>
        </w:rPr>
        <w:t>, פסקאות 26-28 לחוות דעתו של כב' השופט דנציגר (12.2.15)).</w:t>
      </w:r>
    </w:p>
    <w:p w:rsidR="00272CAC" w:rsidRDefault="00272CAC" w:rsidP="00272CAC">
      <w:pPr>
        <w:spacing w:line="360" w:lineRule="auto"/>
        <w:ind w:left="360"/>
        <w:jc w:val="both"/>
        <w:rPr>
          <w:rFonts w:ascii="David" w:hAnsi="David"/>
          <w:rtl/>
        </w:rPr>
      </w:pPr>
    </w:p>
    <w:p w:rsidR="00272CAC" w:rsidRPr="00D75804" w:rsidRDefault="00272CAC" w:rsidP="00272CAC">
      <w:pPr>
        <w:pStyle w:val="ac"/>
        <w:numPr>
          <w:ilvl w:val="0"/>
          <w:numId w:val="14"/>
        </w:numPr>
        <w:spacing w:after="0" w:line="360" w:lineRule="auto"/>
        <w:jc w:val="both"/>
        <w:rPr>
          <w:rFonts w:ascii="David" w:hAnsi="David" w:cs="David"/>
          <w:sz w:val="24"/>
          <w:szCs w:val="24"/>
          <w:rtl/>
        </w:rPr>
      </w:pPr>
      <w:r w:rsidRPr="00D75804">
        <w:rPr>
          <w:rFonts w:ascii="David" w:hAnsi="David" w:cs="David" w:hint="cs"/>
          <w:sz w:val="24"/>
          <w:szCs w:val="24"/>
          <w:rtl/>
        </w:rPr>
        <w:t xml:space="preserve">סוגיה אחרונה היא האם הנאשם </w:t>
      </w:r>
      <w:r>
        <w:rPr>
          <w:rFonts w:ascii="David" w:hAnsi="David" w:cs="David" w:hint="cs"/>
          <w:sz w:val="24"/>
          <w:szCs w:val="24"/>
          <w:rtl/>
        </w:rPr>
        <w:t xml:space="preserve">כיוון את אקדחו לעבר ראשו של המנוח. בהקשר זה העובדה הטראגית הברורה היא שהקליע שנורה מאקדחו של הנאשם פגע </w:t>
      </w:r>
      <w:r w:rsidRPr="00D75804">
        <w:rPr>
          <w:rFonts w:ascii="David" w:hAnsi="David" w:cs="David" w:hint="cs"/>
          <w:sz w:val="24"/>
          <w:szCs w:val="24"/>
          <w:u w:val="single"/>
          <w:rtl/>
        </w:rPr>
        <w:t>בפניו</w:t>
      </w:r>
      <w:r>
        <w:rPr>
          <w:rFonts w:ascii="David" w:hAnsi="David" w:cs="David" w:hint="cs"/>
          <w:sz w:val="24"/>
          <w:szCs w:val="24"/>
          <w:rtl/>
        </w:rPr>
        <w:t xml:space="preserve"> של המנוח. גרסת הנאשם היתה כי הוא עמד סמוך למנוח ששכב במיטתו, שוחח עמו ובה בעת "שיחק" באקדחו. כפי שצוין לעיל, המרחק בין אקדחו של הנאשם לבין המנוח היה כמטר בלבד. לכן, די לנו שנקבע </w:t>
      </w:r>
      <w:r>
        <w:rPr>
          <w:rFonts w:ascii="David" w:hAnsi="David" w:cs="David"/>
          <w:sz w:val="24"/>
          <w:szCs w:val="24"/>
          <w:rtl/>
        </w:rPr>
        <w:t>–</w:t>
      </w:r>
      <w:r>
        <w:rPr>
          <w:rFonts w:ascii="David" w:hAnsi="David" w:cs="David" w:hint="cs"/>
          <w:sz w:val="24"/>
          <w:szCs w:val="24"/>
          <w:rtl/>
        </w:rPr>
        <w:t xml:space="preserve"> </w:t>
      </w:r>
      <w:r w:rsidRPr="00D75804">
        <w:rPr>
          <w:rFonts w:ascii="David" w:hAnsi="David" w:cs="David" w:hint="cs"/>
          <w:sz w:val="24"/>
          <w:szCs w:val="24"/>
          <w:u w:val="single"/>
          <w:rtl/>
        </w:rPr>
        <w:t>והדברים עולים באופן ברור מהתוצאה הקטלנית</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שאקדחו של הנאשם כוון באופן כללי לעבר פלג גופו העליון המנוח. המאשימה לא טענה כי הנאשם כיוון את אקדחו באופן מכוון דווקא לעבר ראשו של המנוח, ומאידך הנאשם לא טען כי כיוון את אקדחו לצד הנגדי של החדר בו שכב המנוח. במלים אחרות, העובדות ובעיקר התוצאה מלמדות כי ה"משחק" בנשק בוצע כאשר קנה האקדח מופנה באופן כללי לעבר המנוח ששכב במיטתו.</w:t>
      </w:r>
    </w:p>
    <w:p w:rsidR="00272CAC" w:rsidRDefault="00272CAC" w:rsidP="00272CAC">
      <w:pPr>
        <w:pStyle w:val="ac"/>
        <w:spacing w:after="0" w:line="360" w:lineRule="auto"/>
        <w:ind w:left="360"/>
        <w:jc w:val="both"/>
        <w:rPr>
          <w:rFonts w:ascii="David" w:hAnsi="David" w:cs="David"/>
          <w:b/>
          <w:bCs/>
          <w:sz w:val="24"/>
          <w:szCs w:val="24"/>
        </w:rPr>
      </w:pPr>
    </w:p>
    <w:p w:rsidR="00272CAC" w:rsidRDefault="00272CAC" w:rsidP="00272CAC">
      <w:pPr>
        <w:pStyle w:val="ac"/>
        <w:numPr>
          <w:ilvl w:val="0"/>
          <w:numId w:val="14"/>
        </w:numPr>
        <w:spacing w:after="0" w:line="360" w:lineRule="auto"/>
        <w:jc w:val="both"/>
        <w:rPr>
          <w:rFonts w:ascii="David" w:hAnsi="David" w:cs="David"/>
          <w:b/>
          <w:bCs/>
          <w:sz w:val="24"/>
          <w:szCs w:val="24"/>
        </w:rPr>
      </w:pPr>
      <w:r w:rsidRPr="00820933">
        <w:rPr>
          <w:rFonts w:ascii="David" w:hAnsi="David" w:cs="David" w:hint="cs"/>
          <w:b/>
          <w:bCs/>
          <w:sz w:val="24"/>
          <w:szCs w:val="24"/>
          <w:rtl/>
        </w:rPr>
        <w:t>וכעת, נ</w:t>
      </w:r>
      <w:r>
        <w:rPr>
          <w:rFonts w:ascii="David" w:hAnsi="David" w:cs="David" w:hint="cs"/>
          <w:b/>
          <w:bCs/>
          <w:sz w:val="24"/>
          <w:szCs w:val="24"/>
          <w:rtl/>
        </w:rPr>
        <w:t xml:space="preserve">פנה </w:t>
      </w:r>
      <w:r w:rsidRPr="00820933">
        <w:rPr>
          <w:rFonts w:ascii="David" w:hAnsi="David" w:cs="David" w:hint="cs"/>
          <w:b/>
          <w:bCs/>
          <w:sz w:val="24"/>
          <w:szCs w:val="24"/>
          <w:rtl/>
        </w:rPr>
        <w:t xml:space="preserve">לשאלה העיקרית לעיל והיא מה היסוד הנפשי שהתקיים בנאשם עת ירה למוות במנוח. </w:t>
      </w:r>
    </w:p>
    <w:p w:rsidR="00272CAC" w:rsidRPr="00D75804" w:rsidRDefault="00272CAC" w:rsidP="00272CAC">
      <w:pPr>
        <w:pStyle w:val="ac"/>
        <w:rPr>
          <w:rFonts w:ascii="David" w:hAnsi="David" w:cs="David"/>
          <w:b/>
          <w:bCs/>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Pr>
      </w:pPr>
      <w:r w:rsidRPr="00D75804">
        <w:rPr>
          <w:rFonts w:ascii="David" w:hAnsi="David" w:cs="David" w:hint="cs"/>
          <w:b/>
          <w:bCs/>
          <w:sz w:val="24"/>
          <w:szCs w:val="24"/>
          <w:rtl/>
        </w:rPr>
        <w:t xml:space="preserve"> </w:t>
      </w:r>
      <w:r w:rsidRPr="00D75804">
        <w:rPr>
          <w:rFonts w:ascii="David" w:hAnsi="David" w:cs="David" w:hint="cs"/>
          <w:sz w:val="24"/>
          <w:szCs w:val="24"/>
          <w:rtl/>
        </w:rPr>
        <w:t>העבירה העיקרית המיוחסת לנאשם על פי כתב האישום המתוקן היא עבירת ה</w:t>
      </w:r>
      <w:r w:rsidRPr="00D75804">
        <w:rPr>
          <w:rFonts w:ascii="David" w:hAnsi="David" w:cs="David"/>
          <w:sz w:val="24"/>
          <w:szCs w:val="24"/>
          <w:rtl/>
        </w:rPr>
        <w:t xml:space="preserve">רצח </w:t>
      </w:r>
      <w:r w:rsidRPr="00D75804">
        <w:rPr>
          <w:rFonts w:ascii="David" w:hAnsi="David" w:cs="David" w:hint="cs"/>
          <w:sz w:val="24"/>
          <w:szCs w:val="24"/>
          <w:rtl/>
        </w:rPr>
        <w:t>באדישות. מנגד, טוענת ההגנה כי הנאשם התרשל במעשיו ולכן יש להרשיעו בעבירה של גרימת מוות ברשלנות, ולכל היותר היה קל דעת ביחס לתוצאות מעשיו ולכן יש להרשיעו בעבירה של המתה בקלות דעת.</w:t>
      </w:r>
    </w:p>
    <w:p w:rsidR="00272CAC" w:rsidRPr="00AD6F28" w:rsidRDefault="00272CAC" w:rsidP="00272CAC">
      <w:pPr>
        <w:pStyle w:val="ac"/>
        <w:rPr>
          <w:rFonts w:ascii="David" w:hAnsi="David" w:cs="David"/>
          <w:sz w:val="24"/>
          <w:szCs w:val="24"/>
          <w:rtl/>
        </w:rPr>
      </w:pPr>
    </w:p>
    <w:p w:rsidR="00272CAC" w:rsidRPr="00D75804"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 xml:space="preserve">טענת ההגנה ולפיה </w:t>
      </w:r>
      <w:r w:rsidRPr="00D75804">
        <w:rPr>
          <w:rFonts w:ascii="David" w:hAnsi="David" w:cs="David" w:hint="cs"/>
          <w:sz w:val="24"/>
          <w:szCs w:val="24"/>
          <w:rtl/>
        </w:rPr>
        <w:t>יש להרשיע את הנאשם ב</w:t>
      </w:r>
      <w:r>
        <w:rPr>
          <w:rFonts w:ascii="David" w:hAnsi="David" w:cs="David" w:hint="cs"/>
          <w:sz w:val="24"/>
          <w:szCs w:val="24"/>
          <w:rtl/>
        </w:rPr>
        <w:t>עבי</w:t>
      </w:r>
      <w:r w:rsidRPr="00D75804">
        <w:rPr>
          <w:rFonts w:ascii="David" w:hAnsi="David" w:cs="David" w:hint="cs"/>
          <w:sz w:val="24"/>
          <w:szCs w:val="24"/>
          <w:rtl/>
        </w:rPr>
        <w:t xml:space="preserve">רה של גרימת מוות ברשלנות לפי ס' 304 לחוק העונשין </w:t>
      </w:r>
      <w:r>
        <w:rPr>
          <w:rFonts w:ascii="David" w:hAnsi="David" w:cs="David" w:hint="cs"/>
          <w:sz w:val="24"/>
          <w:szCs w:val="24"/>
          <w:rtl/>
        </w:rPr>
        <w:t xml:space="preserve">הועלתה </w:t>
      </w:r>
      <w:r w:rsidRPr="00D75804">
        <w:rPr>
          <w:rFonts w:ascii="David" w:hAnsi="David" w:cs="David" w:hint="cs"/>
          <w:sz w:val="24"/>
          <w:szCs w:val="24"/>
          <w:rtl/>
        </w:rPr>
        <w:t>בלשון רפה</w:t>
      </w:r>
      <w:r>
        <w:rPr>
          <w:rFonts w:ascii="David" w:hAnsi="David" w:cs="David" w:hint="cs"/>
          <w:sz w:val="24"/>
          <w:szCs w:val="24"/>
          <w:rtl/>
        </w:rPr>
        <w:t xml:space="preserve">, ובצדק נעשה הדבר. במלים אחרות יש לדחות מכל וכל טענה זו. </w:t>
      </w:r>
    </w:p>
    <w:p w:rsidR="00272CAC" w:rsidRPr="00D75804" w:rsidRDefault="00272CAC" w:rsidP="00272CAC">
      <w:pPr>
        <w:pStyle w:val="ac"/>
        <w:spacing w:after="0" w:line="360" w:lineRule="auto"/>
        <w:ind w:left="360"/>
        <w:jc w:val="both"/>
        <w:rPr>
          <w:rFonts w:ascii="David" w:hAnsi="David" w:cs="David"/>
          <w:sz w:val="24"/>
          <w:szCs w:val="24"/>
          <w:rtl/>
        </w:rPr>
      </w:pPr>
    </w:p>
    <w:p w:rsidR="00272CAC" w:rsidRPr="002D1702" w:rsidRDefault="00272CAC" w:rsidP="00272CAC">
      <w:pPr>
        <w:pStyle w:val="ac"/>
        <w:numPr>
          <w:ilvl w:val="0"/>
          <w:numId w:val="14"/>
        </w:numPr>
        <w:spacing w:after="0" w:line="360" w:lineRule="auto"/>
        <w:jc w:val="both"/>
        <w:rPr>
          <w:rFonts w:ascii="David" w:hAnsi="David" w:cs="David"/>
          <w:sz w:val="24"/>
          <w:szCs w:val="24"/>
          <w:rtl/>
        </w:rPr>
      </w:pPr>
      <w:r w:rsidRPr="00D75804">
        <w:rPr>
          <w:rFonts w:ascii="David" w:hAnsi="David" w:cs="David" w:hint="cs"/>
          <w:sz w:val="24"/>
          <w:szCs w:val="24"/>
          <w:rtl/>
        </w:rPr>
        <w:t xml:space="preserve">עבירת הרשלנות מבוססת על הקביעה כי הנאשם לא היה מודע בפועל לטיב מעשיו, לנסיבות או לתוצאות מעשהו, מקום בו האדם הסביר היה יכול להיות מודע להם. </w:t>
      </w:r>
      <w:r w:rsidRPr="002D1702">
        <w:rPr>
          <w:rFonts w:ascii="David" w:hAnsi="David" w:cs="David" w:hint="cs"/>
          <w:sz w:val="24"/>
          <w:szCs w:val="24"/>
          <w:rtl/>
        </w:rPr>
        <w:t xml:space="preserve">הדברים הובהרו בע"פ 2211/21 </w:t>
      </w:r>
      <w:r w:rsidRPr="002D1702">
        <w:rPr>
          <w:rFonts w:ascii="Miriam" w:hAnsi="Miriam" w:cs="Miriam"/>
          <w:sz w:val="24"/>
          <w:szCs w:val="24"/>
          <w:rtl/>
        </w:rPr>
        <w:t>בדארנה נ' מדינת ישראל</w:t>
      </w:r>
      <w:r w:rsidRPr="002D1702">
        <w:rPr>
          <w:rFonts w:ascii="David" w:hAnsi="David" w:cs="David" w:hint="cs"/>
          <w:sz w:val="24"/>
          <w:szCs w:val="24"/>
          <w:rtl/>
        </w:rPr>
        <w:t>, פסקה 18 (</w:t>
      </w:r>
      <w:r w:rsidRPr="002D1702">
        <w:rPr>
          <w:rFonts w:ascii="David" w:hAnsi="David" w:cs="David"/>
          <w:sz w:val="24"/>
          <w:szCs w:val="24"/>
          <w:rtl/>
        </w:rPr>
        <w:t>14.</w:t>
      </w:r>
      <w:r w:rsidRPr="002D1702">
        <w:rPr>
          <w:rFonts w:ascii="David" w:hAnsi="David" w:cs="David" w:hint="cs"/>
          <w:sz w:val="24"/>
          <w:szCs w:val="24"/>
          <w:rtl/>
        </w:rPr>
        <w:t>7</w:t>
      </w:r>
      <w:r w:rsidRPr="002D1702">
        <w:rPr>
          <w:rFonts w:ascii="David" w:hAnsi="David" w:cs="David"/>
          <w:sz w:val="24"/>
          <w:szCs w:val="24"/>
          <w:rtl/>
        </w:rPr>
        <w:t>.2022)</w:t>
      </w:r>
      <w:r w:rsidRPr="002D1702">
        <w:rPr>
          <w:rFonts w:ascii="David" w:hAnsi="David" w:cs="David" w:hint="cs"/>
          <w:sz w:val="24"/>
          <w:szCs w:val="24"/>
          <w:rtl/>
        </w:rPr>
        <w:t>, באופן הבא:</w:t>
      </w:r>
    </w:p>
    <w:p w:rsidR="00272CAC" w:rsidRPr="002D1702" w:rsidRDefault="00272CAC" w:rsidP="00272CAC">
      <w:pPr>
        <w:pStyle w:val="ac"/>
        <w:spacing w:after="0" w:line="360" w:lineRule="auto"/>
        <w:ind w:left="360"/>
        <w:jc w:val="both"/>
        <w:rPr>
          <w:rFonts w:ascii="David" w:hAnsi="David" w:cs="David"/>
          <w:sz w:val="24"/>
          <w:szCs w:val="24"/>
          <w:rtl/>
        </w:rPr>
      </w:pPr>
    </w:p>
    <w:p w:rsidR="00272CAC" w:rsidRPr="002D1702" w:rsidRDefault="00272CAC" w:rsidP="00272CAC">
      <w:pPr>
        <w:pStyle w:val="ac"/>
        <w:spacing w:after="0" w:line="360" w:lineRule="auto"/>
        <w:ind w:left="360"/>
        <w:jc w:val="both"/>
        <w:rPr>
          <w:rFonts w:ascii="David" w:hAnsi="David" w:cs="David"/>
          <w:b/>
          <w:bCs/>
          <w:sz w:val="24"/>
          <w:szCs w:val="24"/>
          <w:rtl/>
        </w:rPr>
      </w:pPr>
      <w:r w:rsidRPr="002D1702">
        <w:rPr>
          <w:rFonts w:ascii="David" w:hAnsi="David" w:cs="David" w:hint="cs"/>
          <w:b/>
          <w:bCs/>
          <w:sz w:val="24"/>
          <w:szCs w:val="24"/>
          <w:rtl/>
        </w:rPr>
        <w:t>"</w:t>
      </w:r>
      <w:r w:rsidRPr="002D1702">
        <w:rPr>
          <w:rFonts w:ascii="David" w:hAnsi="David" w:cs="David" w:hint="eastAsia"/>
          <w:b/>
          <w:bCs/>
          <w:sz w:val="24"/>
          <w:szCs w:val="24"/>
          <w:rtl/>
        </w:rPr>
        <w:t>שני</w:t>
      </w:r>
      <w:r w:rsidRPr="002D1702">
        <w:rPr>
          <w:rFonts w:ascii="David" w:hAnsi="David" w:cs="David"/>
          <w:b/>
          <w:bCs/>
          <w:sz w:val="24"/>
          <w:szCs w:val="24"/>
          <w:rtl/>
        </w:rPr>
        <w:t xml:space="preserve"> </w:t>
      </w:r>
      <w:r w:rsidRPr="002D1702">
        <w:rPr>
          <w:rFonts w:ascii="David" w:hAnsi="David" w:cs="David" w:hint="eastAsia"/>
          <w:b/>
          <w:bCs/>
          <w:sz w:val="24"/>
          <w:szCs w:val="24"/>
          <w:rtl/>
        </w:rPr>
        <w:t>היסודות</w:t>
      </w:r>
      <w:r w:rsidRPr="002D1702">
        <w:rPr>
          <w:rFonts w:ascii="David" w:hAnsi="David" w:cs="David"/>
          <w:b/>
          <w:bCs/>
          <w:sz w:val="24"/>
          <w:szCs w:val="24"/>
          <w:rtl/>
        </w:rPr>
        <w:t xml:space="preserve"> </w:t>
      </w:r>
      <w:r w:rsidRPr="002D1702">
        <w:rPr>
          <w:rFonts w:ascii="David" w:hAnsi="David" w:cs="David" w:hint="eastAsia"/>
          <w:b/>
          <w:bCs/>
          <w:sz w:val="24"/>
          <w:szCs w:val="24"/>
          <w:rtl/>
        </w:rPr>
        <w:t>הנפשיים</w:t>
      </w:r>
      <w:r w:rsidRPr="002D1702">
        <w:rPr>
          <w:rFonts w:ascii="David" w:hAnsi="David" w:cs="David"/>
          <w:b/>
          <w:bCs/>
          <w:sz w:val="24"/>
          <w:szCs w:val="24"/>
          <w:rtl/>
        </w:rPr>
        <w:t xml:space="preserve"> – </w:t>
      </w:r>
      <w:r w:rsidRPr="002D1702">
        <w:rPr>
          <w:rFonts w:ascii="David" w:hAnsi="David" w:cs="David" w:hint="eastAsia"/>
          <w:b/>
          <w:bCs/>
          <w:sz w:val="24"/>
          <w:szCs w:val="24"/>
          <w:rtl/>
        </w:rPr>
        <w:t>רשלנות</w:t>
      </w:r>
      <w:r w:rsidRPr="002D1702">
        <w:rPr>
          <w:rFonts w:ascii="David" w:hAnsi="David" w:cs="David"/>
          <w:b/>
          <w:bCs/>
          <w:sz w:val="24"/>
          <w:szCs w:val="24"/>
          <w:rtl/>
        </w:rPr>
        <w:t xml:space="preserve"> </w:t>
      </w:r>
      <w:r w:rsidRPr="002D1702">
        <w:rPr>
          <w:rFonts w:ascii="David" w:hAnsi="David" w:cs="David" w:hint="eastAsia"/>
          <w:b/>
          <w:bCs/>
          <w:sz w:val="24"/>
          <w:szCs w:val="24"/>
          <w:rtl/>
        </w:rPr>
        <w:t>וקלות</w:t>
      </w:r>
      <w:r w:rsidRPr="002D1702">
        <w:rPr>
          <w:rFonts w:ascii="David" w:hAnsi="David" w:cs="David"/>
          <w:b/>
          <w:bCs/>
          <w:sz w:val="24"/>
          <w:szCs w:val="24"/>
          <w:rtl/>
        </w:rPr>
        <w:t xml:space="preserve"> </w:t>
      </w:r>
      <w:r w:rsidRPr="002D1702">
        <w:rPr>
          <w:rFonts w:ascii="David" w:hAnsi="David" w:cs="David" w:hint="eastAsia"/>
          <w:b/>
          <w:bCs/>
          <w:sz w:val="24"/>
          <w:szCs w:val="24"/>
          <w:rtl/>
        </w:rPr>
        <w:t>דעת</w:t>
      </w:r>
      <w:r w:rsidRPr="002D1702">
        <w:rPr>
          <w:rFonts w:ascii="David" w:hAnsi="David" w:cs="David"/>
          <w:b/>
          <w:bCs/>
          <w:sz w:val="24"/>
          <w:szCs w:val="24"/>
          <w:rtl/>
        </w:rPr>
        <w:t xml:space="preserve"> – </w:t>
      </w:r>
      <w:r w:rsidRPr="002D1702">
        <w:rPr>
          <w:rFonts w:ascii="David" w:hAnsi="David" w:cs="David" w:hint="eastAsia"/>
          <w:b/>
          <w:bCs/>
          <w:sz w:val="24"/>
          <w:szCs w:val="24"/>
          <w:rtl/>
        </w:rPr>
        <w:t>כרוכים</w:t>
      </w:r>
      <w:r w:rsidRPr="002D1702">
        <w:rPr>
          <w:rFonts w:ascii="David" w:hAnsi="David" w:cs="David"/>
          <w:b/>
          <w:bCs/>
          <w:sz w:val="24"/>
          <w:szCs w:val="24"/>
          <w:rtl/>
        </w:rPr>
        <w:t xml:space="preserve"> </w:t>
      </w:r>
      <w:r w:rsidRPr="002D1702">
        <w:rPr>
          <w:rFonts w:ascii="David" w:hAnsi="David" w:cs="David" w:hint="eastAsia"/>
          <w:b/>
          <w:bCs/>
          <w:sz w:val="24"/>
          <w:szCs w:val="24"/>
          <w:rtl/>
        </w:rPr>
        <w:t>בנטילת</w:t>
      </w:r>
      <w:r w:rsidRPr="002D1702">
        <w:rPr>
          <w:rFonts w:ascii="David" w:hAnsi="David" w:cs="David"/>
          <w:b/>
          <w:bCs/>
          <w:sz w:val="24"/>
          <w:szCs w:val="24"/>
          <w:rtl/>
        </w:rPr>
        <w:t xml:space="preserve"> </w:t>
      </w:r>
      <w:r w:rsidRPr="002D1702">
        <w:rPr>
          <w:rFonts w:ascii="David" w:hAnsi="David" w:cs="David" w:hint="eastAsia"/>
          <w:b/>
          <w:bCs/>
          <w:sz w:val="24"/>
          <w:szCs w:val="24"/>
          <w:rtl/>
        </w:rPr>
        <w:t>סיכון</w:t>
      </w:r>
      <w:r w:rsidRPr="002D1702">
        <w:rPr>
          <w:rFonts w:ascii="David" w:hAnsi="David" w:cs="David"/>
          <w:b/>
          <w:bCs/>
          <w:sz w:val="24"/>
          <w:szCs w:val="24"/>
          <w:rtl/>
        </w:rPr>
        <w:t xml:space="preserve"> </w:t>
      </w:r>
      <w:r w:rsidRPr="002D1702">
        <w:rPr>
          <w:rFonts w:ascii="David" w:hAnsi="David" w:cs="David" w:hint="eastAsia"/>
          <w:b/>
          <w:bCs/>
          <w:sz w:val="24"/>
          <w:szCs w:val="24"/>
          <w:rtl/>
        </w:rPr>
        <w:t>בלתי</w:t>
      </w:r>
      <w:r w:rsidRPr="002D1702">
        <w:rPr>
          <w:rFonts w:ascii="David" w:hAnsi="David" w:cs="David"/>
          <w:b/>
          <w:bCs/>
          <w:sz w:val="24"/>
          <w:szCs w:val="24"/>
          <w:rtl/>
        </w:rPr>
        <w:t xml:space="preserve"> </w:t>
      </w:r>
      <w:r w:rsidRPr="002D1702">
        <w:rPr>
          <w:rFonts w:ascii="David" w:hAnsi="David" w:cs="David" w:hint="eastAsia"/>
          <w:b/>
          <w:bCs/>
          <w:sz w:val="24"/>
          <w:szCs w:val="24"/>
          <w:rtl/>
        </w:rPr>
        <w:t>סביר</w:t>
      </w:r>
      <w:r w:rsidRPr="002D1702">
        <w:rPr>
          <w:rFonts w:ascii="David" w:hAnsi="David" w:cs="David"/>
          <w:b/>
          <w:bCs/>
          <w:sz w:val="24"/>
          <w:szCs w:val="24"/>
          <w:rtl/>
        </w:rPr>
        <w:t xml:space="preserve"> </w:t>
      </w:r>
      <w:r w:rsidRPr="002D1702">
        <w:rPr>
          <w:rFonts w:ascii="David" w:hAnsi="David" w:cs="David" w:hint="eastAsia"/>
          <w:b/>
          <w:bCs/>
          <w:sz w:val="24"/>
          <w:szCs w:val="24"/>
          <w:rtl/>
        </w:rPr>
        <w:t>מבחינה</w:t>
      </w:r>
      <w:r w:rsidRPr="002D1702">
        <w:rPr>
          <w:rFonts w:ascii="David" w:hAnsi="David" w:cs="David"/>
          <w:b/>
          <w:bCs/>
          <w:sz w:val="24"/>
          <w:szCs w:val="24"/>
          <w:rtl/>
        </w:rPr>
        <w:t xml:space="preserve"> </w:t>
      </w:r>
      <w:r w:rsidRPr="002D1702">
        <w:rPr>
          <w:rFonts w:ascii="David" w:hAnsi="David" w:cs="David" w:hint="eastAsia"/>
          <w:b/>
          <w:bCs/>
          <w:sz w:val="24"/>
          <w:szCs w:val="24"/>
          <w:rtl/>
        </w:rPr>
        <w:t>אובייקטיבית</w:t>
      </w:r>
      <w:r w:rsidRPr="002D1702">
        <w:rPr>
          <w:rFonts w:ascii="David" w:hAnsi="David" w:cs="David"/>
          <w:b/>
          <w:bCs/>
          <w:sz w:val="24"/>
          <w:szCs w:val="24"/>
          <w:rtl/>
        </w:rPr>
        <w:t xml:space="preserve"> </w:t>
      </w:r>
      <w:r w:rsidRPr="002D1702">
        <w:rPr>
          <w:rFonts w:ascii="David" w:hAnsi="David" w:cs="David" w:hint="eastAsia"/>
          <w:b/>
          <w:bCs/>
          <w:sz w:val="24"/>
          <w:szCs w:val="24"/>
          <w:rtl/>
        </w:rPr>
        <w:t>לגרימת</w:t>
      </w:r>
      <w:r w:rsidRPr="002D1702">
        <w:rPr>
          <w:rFonts w:ascii="David" w:hAnsi="David" w:cs="David"/>
          <w:b/>
          <w:bCs/>
          <w:sz w:val="24"/>
          <w:szCs w:val="24"/>
          <w:rtl/>
        </w:rPr>
        <w:t xml:space="preserve"> </w:t>
      </w:r>
      <w:r w:rsidRPr="002D1702">
        <w:rPr>
          <w:rFonts w:ascii="David" w:hAnsi="David" w:cs="David" w:hint="eastAsia"/>
          <w:b/>
          <w:bCs/>
          <w:sz w:val="24"/>
          <w:szCs w:val="24"/>
          <w:rtl/>
        </w:rPr>
        <w:t>תוצאה</w:t>
      </w:r>
      <w:r w:rsidRPr="002D1702">
        <w:rPr>
          <w:rFonts w:ascii="David" w:hAnsi="David" w:cs="David"/>
          <w:b/>
          <w:bCs/>
          <w:sz w:val="24"/>
          <w:szCs w:val="24"/>
          <w:rtl/>
        </w:rPr>
        <w:t xml:space="preserve"> </w:t>
      </w:r>
      <w:r w:rsidRPr="002D1702">
        <w:rPr>
          <w:rFonts w:ascii="David" w:hAnsi="David" w:cs="David" w:hint="eastAsia"/>
          <w:b/>
          <w:bCs/>
          <w:sz w:val="24"/>
          <w:szCs w:val="24"/>
          <w:rtl/>
        </w:rPr>
        <w:t>בה</w:t>
      </w:r>
      <w:r w:rsidRPr="002D1702">
        <w:rPr>
          <w:rFonts w:ascii="David" w:hAnsi="David" w:cs="David"/>
          <w:b/>
          <w:bCs/>
          <w:sz w:val="24"/>
          <w:szCs w:val="24"/>
          <w:rtl/>
        </w:rPr>
        <w:t xml:space="preserve"> </w:t>
      </w:r>
      <w:r w:rsidRPr="002D1702">
        <w:rPr>
          <w:rFonts w:ascii="David" w:hAnsi="David" w:cs="David" w:hint="eastAsia"/>
          <w:b/>
          <w:bCs/>
          <w:sz w:val="24"/>
          <w:szCs w:val="24"/>
          <w:rtl/>
        </w:rPr>
        <w:t>אין</w:t>
      </w:r>
      <w:r w:rsidRPr="002D1702">
        <w:rPr>
          <w:rFonts w:ascii="David" w:hAnsi="David" w:cs="David"/>
          <w:b/>
          <w:bCs/>
          <w:sz w:val="24"/>
          <w:szCs w:val="24"/>
          <w:rtl/>
        </w:rPr>
        <w:t xml:space="preserve"> </w:t>
      </w:r>
      <w:r w:rsidRPr="002D1702">
        <w:rPr>
          <w:rFonts w:ascii="David" w:hAnsi="David" w:cs="David" w:hint="eastAsia"/>
          <w:b/>
          <w:bCs/>
          <w:sz w:val="24"/>
          <w:szCs w:val="24"/>
          <w:rtl/>
        </w:rPr>
        <w:t>הנאשם</w:t>
      </w:r>
      <w:r w:rsidRPr="002D1702">
        <w:rPr>
          <w:rFonts w:ascii="David" w:hAnsi="David" w:cs="David"/>
          <w:b/>
          <w:bCs/>
          <w:sz w:val="24"/>
          <w:szCs w:val="24"/>
          <w:rtl/>
        </w:rPr>
        <w:t xml:space="preserve"> </w:t>
      </w:r>
      <w:r w:rsidRPr="002D1702">
        <w:rPr>
          <w:rFonts w:ascii="David" w:hAnsi="David" w:cs="David" w:hint="eastAsia"/>
          <w:b/>
          <w:bCs/>
          <w:sz w:val="24"/>
          <w:szCs w:val="24"/>
          <w:rtl/>
        </w:rPr>
        <w:t>מעוניין</w:t>
      </w:r>
      <w:r w:rsidRPr="002D1702">
        <w:rPr>
          <w:rFonts w:ascii="David" w:hAnsi="David" w:cs="David"/>
          <w:b/>
          <w:bCs/>
          <w:sz w:val="24"/>
          <w:szCs w:val="24"/>
          <w:rtl/>
        </w:rPr>
        <w:t>;</w:t>
      </w:r>
      <w:r w:rsidRPr="002D1702">
        <w:rPr>
          <w:rFonts w:ascii="David" w:hAnsi="David" w:cs="David" w:hint="cs"/>
          <w:b/>
          <w:bCs/>
          <w:sz w:val="24"/>
          <w:szCs w:val="24"/>
          <w:rtl/>
        </w:rPr>
        <w:t xml:space="preserve"> </w:t>
      </w:r>
      <w:r w:rsidRPr="002D1702">
        <w:rPr>
          <w:rFonts w:ascii="David" w:hAnsi="David" w:cs="David" w:hint="eastAsia"/>
          <w:b/>
          <w:bCs/>
          <w:sz w:val="24"/>
          <w:szCs w:val="24"/>
          <w:rtl/>
        </w:rPr>
        <w:t>ההבדל</w:t>
      </w:r>
      <w:r w:rsidRPr="002D1702">
        <w:rPr>
          <w:rFonts w:ascii="David" w:hAnsi="David" w:cs="David"/>
          <w:b/>
          <w:bCs/>
          <w:sz w:val="24"/>
          <w:szCs w:val="24"/>
          <w:rtl/>
        </w:rPr>
        <w:t xml:space="preserve"> </w:t>
      </w:r>
      <w:r w:rsidRPr="002D1702">
        <w:rPr>
          <w:rFonts w:ascii="David" w:hAnsi="David" w:cs="David" w:hint="eastAsia"/>
          <w:b/>
          <w:bCs/>
          <w:sz w:val="24"/>
          <w:szCs w:val="24"/>
          <w:rtl/>
        </w:rPr>
        <w:t>ביניהן</w:t>
      </w:r>
      <w:r w:rsidRPr="002D1702">
        <w:rPr>
          <w:rFonts w:ascii="David" w:hAnsi="David" w:cs="David"/>
          <w:b/>
          <w:bCs/>
          <w:sz w:val="24"/>
          <w:szCs w:val="24"/>
          <w:rtl/>
        </w:rPr>
        <w:t xml:space="preserve"> </w:t>
      </w:r>
      <w:r w:rsidRPr="002D1702">
        <w:rPr>
          <w:rFonts w:ascii="David" w:hAnsi="David" w:cs="David" w:hint="eastAsia"/>
          <w:b/>
          <w:bCs/>
          <w:sz w:val="24"/>
          <w:szCs w:val="24"/>
          <w:rtl/>
        </w:rPr>
        <w:t>נוגע</w:t>
      </w:r>
      <w:r w:rsidRPr="002D1702">
        <w:rPr>
          <w:rFonts w:ascii="David" w:hAnsi="David" w:cs="David"/>
          <w:b/>
          <w:bCs/>
          <w:sz w:val="24"/>
          <w:szCs w:val="24"/>
          <w:rtl/>
        </w:rPr>
        <w:t xml:space="preserve"> </w:t>
      </w:r>
      <w:r w:rsidRPr="002D1702">
        <w:rPr>
          <w:rFonts w:ascii="David" w:hAnsi="David" w:cs="David" w:hint="eastAsia"/>
          <w:b/>
          <w:bCs/>
          <w:sz w:val="24"/>
          <w:szCs w:val="24"/>
          <w:rtl/>
        </w:rPr>
        <w:t>במודעות</w:t>
      </w:r>
      <w:r w:rsidRPr="002D1702">
        <w:rPr>
          <w:rFonts w:ascii="David" w:hAnsi="David" w:cs="David"/>
          <w:b/>
          <w:bCs/>
          <w:sz w:val="24"/>
          <w:szCs w:val="24"/>
          <w:rtl/>
        </w:rPr>
        <w:t xml:space="preserve"> </w:t>
      </w:r>
      <w:r w:rsidRPr="002D1702">
        <w:rPr>
          <w:rFonts w:ascii="David" w:hAnsi="David" w:cs="David" w:hint="eastAsia"/>
          <w:b/>
          <w:bCs/>
          <w:sz w:val="24"/>
          <w:szCs w:val="24"/>
          <w:rtl/>
        </w:rPr>
        <w:t>הסובייקטיבית</w:t>
      </w:r>
      <w:r w:rsidRPr="002D1702">
        <w:rPr>
          <w:rFonts w:ascii="David" w:hAnsi="David" w:cs="David"/>
          <w:b/>
          <w:bCs/>
          <w:sz w:val="24"/>
          <w:szCs w:val="24"/>
          <w:rtl/>
        </w:rPr>
        <w:t xml:space="preserve"> </w:t>
      </w:r>
      <w:r w:rsidRPr="002D1702">
        <w:rPr>
          <w:rFonts w:ascii="David" w:hAnsi="David" w:cs="David" w:hint="eastAsia"/>
          <w:b/>
          <w:bCs/>
          <w:sz w:val="24"/>
          <w:szCs w:val="24"/>
          <w:rtl/>
        </w:rPr>
        <w:t>של</w:t>
      </w:r>
      <w:r w:rsidRPr="002D1702">
        <w:rPr>
          <w:rFonts w:ascii="David" w:hAnsi="David" w:cs="David"/>
          <w:b/>
          <w:bCs/>
          <w:sz w:val="24"/>
          <w:szCs w:val="24"/>
          <w:rtl/>
        </w:rPr>
        <w:t xml:space="preserve"> </w:t>
      </w:r>
      <w:r w:rsidRPr="002D1702">
        <w:rPr>
          <w:rFonts w:ascii="David" w:hAnsi="David" w:cs="David" w:hint="eastAsia"/>
          <w:b/>
          <w:bCs/>
          <w:sz w:val="24"/>
          <w:szCs w:val="24"/>
          <w:rtl/>
        </w:rPr>
        <w:t>הנאשם</w:t>
      </w:r>
      <w:r w:rsidRPr="002D1702">
        <w:rPr>
          <w:rFonts w:ascii="David" w:hAnsi="David" w:cs="David"/>
          <w:b/>
          <w:bCs/>
          <w:sz w:val="24"/>
          <w:szCs w:val="24"/>
          <w:rtl/>
        </w:rPr>
        <w:t xml:space="preserve"> </w:t>
      </w:r>
      <w:r w:rsidRPr="002D1702">
        <w:rPr>
          <w:rFonts w:ascii="David" w:hAnsi="David" w:cs="David" w:hint="eastAsia"/>
          <w:b/>
          <w:bCs/>
          <w:sz w:val="24"/>
          <w:szCs w:val="24"/>
          <w:rtl/>
        </w:rPr>
        <w:t>לקיומו</w:t>
      </w:r>
      <w:r w:rsidRPr="002D1702">
        <w:rPr>
          <w:rFonts w:ascii="David" w:hAnsi="David" w:cs="David"/>
          <w:b/>
          <w:bCs/>
          <w:sz w:val="24"/>
          <w:szCs w:val="24"/>
          <w:rtl/>
        </w:rPr>
        <w:t xml:space="preserve"> </w:t>
      </w:r>
      <w:r w:rsidRPr="002D1702">
        <w:rPr>
          <w:rFonts w:ascii="David" w:hAnsi="David" w:cs="David" w:hint="eastAsia"/>
          <w:b/>
          <w:bCs/>
          <w:sz w:val="24"/>
          <w:szCs w:val="24"/>
          <w:rtl/>
        </w:rPr>
        <w:t>של</w:t>
      </w:r>
      <w:r w:rsidRPr="002D1702">
        <w:rPr>
          <w:rFonts w:ascii="David" w:hAnsi="David" w:cs="David"/>
          <w:b/>
          <w:bCs/>
          <w:sz w:val="24"/>
          <w:szCs w:val="24"/>
          <w:rtl/>
        </w:rPr>
        <w:t xml:space="preserve"> </w:t>
      </w:r>
      <w:r w:rsidRPr="002D1702">
        <w:rPr>
          <w:rFonts w:ascii="David" w:hAnsi="David" w:cs="David" w:hint="eastAsia"/>
          <w:b/>
          <w:bCs/>
          <w:sz w:val="24"/>
          <w:szCs w:val="24"/>
          <w:rtl/>
        </w:rPr>
        <w:t>סיכון</w:t>
      </w:r>
      <w:r w:rsidRPr="002D1702">
        <w:rPr>
          <w:rFonts w:ascii="David" w:hAnsi="David" w:cs="David"/>
          <w:b/>
          <w:bCs/>
          <w:sz w:val="24"/>
          <w:szCs w:val="24"/>
          <w:rtl/>
        </w:rPr>
        <w:t xml:space="preserve"> </w:t>
      </w:r>
      <w:r w:rsidRPr="002D1702">
        <w:rPr>
          <w:rFonts w:ascii="David" w:hAnsi="David" w:cs="David" w:hint="eastAsia"/>
          <w:b/>
          <w:bCs/>
          <w:sz w:val="24"/>
          <w:szCs w:val="24"/>
          <w:rtl/>
        </w:rPr>
        <w:t>זה</w:t>
      </w:r>
      <w:r w:rsidRPr="002D1702">
        <w:rPr>
          <w:rFonts w:ascii="David" w:hAnsi="David" w:cs="David"/>
          <w:b/>
          <w:bCs/>
          <w:sz w:val="24"/>
          <w:szCs w:val="24"/>
          <w:rtl/>
        </w:rPr>
        <w:t xml:space="preserve">: </w:t>
      </w:r>
      <w:r w:rsidRPr="002D1702">
        <w:rPr>
          <w:rFonts w:ascii="David" w:hAnsi="David" w:cs="David" w:hint="eastAsia"/>
          <w:b/>
          <w:bCs/>
          <w:sz w:val="24"/>
          <w:szCs w:val="24"/>
          <w:rtl/>
        </w:rPr>
        <w:t>הרשלן</w:t>
      </w:r>
      <w:r w:rsidRPr="002D1702">
        <w:rPr>
          <w:rFonts w:ascii="David" w:hAnsi="David" w:cs="David"/>
          <w:b/>
          <w:bCs/>
          <w:sz w:val="24"/>
          <w:szCs w:val="24"/>
          <w:rtl/>
        </w:rPr>
        <w:t xml:space="preserve"> </w:t>
      </w:r>
      <w:r w:rsidRPr="002D1702">
        <w:rPr>
          <w:rFonts w:ascii="David" w:hAnsi="David" w:cs="David" w:hint="eastAsia"/>
          <w:b/>
          <w:bCs/>
          <w:sz w:val="24"/>
          <w:szCs w:val="24"/>
          <w:rtl/>
        </w:rPr>
        <w:t>אינו</w:t>
      </w:r>
      <w:r w:rsidRPr="002D1702">
        <w:rPr>
          <w:rFonts w:ascii="David" w:hAnsi="David" w:cs="David"/>
          <w:b/>
          <w:bCs/>
          <w:sz w:val="24"/>
          <w:szCs w:val="24"/>
          <w:rtl/>
        </w:rPr>
        <w:t xml:space="preserve"> </w:t>
      </w:r>
      <w:r w:rsidRPr="002D1702">
        <w:rPr>
          <w:rFonts w:ascii="David" w:hAnsi="David" w:cs="David" w:hint="eastAsia"/>
          <w:b/>
          <w:bCs/>
          <w:sz w:val="24"/>
          <w:szCs w:val="24"/>
          <w:rtl/>
        </w:rPr>
        <w:t>מודע</w:t>
      </w:r>
      <w:r w:rsidRPr="002D1702">
        <w:rPr>
          <w:rFonts w:ascii="David" w:hAnsi="David" w:cs="David"/>
          <w:b/>
          <w:bCs/>
          <w:sz w:val="24"/>
          <w:szCs w:val="24"/>
          <w:rtl/>
        </w:rPr>
        <w:t xml:space="preserve"> </w:t>
      </w:r>
      <w:r w:rsidRPr="002D1702">
        <w:rPr>
          <w:rFonts w:ascii="David" w:hAnsi="David" w:cs="David" w:hint="eastAsia"/>
          <w:b/>
          <w:bCs/>
          <w:sz w:val="24"/>
          <w:szCs w:val="24"/>
          <w:rtl/>
        </w:rPr>
        <w:t>מבחינה</w:t>
      </w:r>
      <w:r w:rsidRPr="002D1702">
        <w:rPr>
          <w:rFonts w:ascii="David" w:hAnsi="David" w:cs="David"/>
          <w:b/>
          <w:bCs/>
          <w:sz w:val="24"/>
          <w:szCs w:val="24"/>
          <w:rtl/>
        </w:rPr>
        <w:t xml:space="preserve"> </w:t>
      </w:r>
      <w:r w:rsidRPr="002D1702">
        <w:rPr>
          <w:rFonts w:ascii="David" w:hAnsi="David" w:cs="David" w:hint="eastAsia"/>
          <w:b/>
          <w:bCs/>
          <w:sz w:val="24"/>
          <w:szCs w:val="24"/>
          <w:rtl/>
        </w:rPr>
        <w:t>סובייקטיבית</w:t>
      </w:r>
      <w:r w:rsidRPr="002D1702">
        <w:rPr>
          <w:rFonts w:ascii="David" w:hAnsi="David" w:cs="David"/>
          <w:b/>
          <w:bCs/>
          <w:sz w:val="24"/>
          <w:szCs w:val="24"/>
          <w:rtl/>
        </w:rPr>
        <w:t xml:space="preserve"> </w:t>
      </w:r>
      <w:r w:rsidRPr="002D1702">
        <w:rPr>
          <w:rFonts w:ascii="David" w:hAnsi="David" w:cs="David" w:hint="eastAsia"/>
          <w:b/>
          <w:bCs/>
          <w:sz w:val="24"/>
          <w:szCs w:val="24"/>
          <w:rtl/>
        </w:rPr>
        <w:t>לקיומו</w:t>
      </w:r>
      <w:r w:rsidRPr="002D1702">
        <w:rPr>
          <w:rFonts w:ascii="David" w:hAnsi="David" w:cs="David"/>
          <w:b/>
          <w:bCs/>
          <w:sz w:val="24"/>
          <w:szCs w:val="24"/>
          <w:rtl/>
        </w:rPr>
        <w:t xml:space="preserve"> </w:t>
      </w:r>
      <w:r w:rsidRPr="002D1702">
        <w:rPr>
          <w:rFonts w:ascii="David" w:hAnsi="David" w:cs="David" w:hint="eastAsia"/>
          <w:b/>
          <w:bCs/>
          <w:sz w:val="24"/>
          <w:szCs w:val="24"/>
          <w:rtl/>
        </w:rPr>
        <w:t>של</w:t>
      </w:r>
      <w:r w:rsidRPr="002D1702">
        <w:rPr>
          <w:rFonts w:ascii="David" w:hAnsi="David" w:cs="David"/>
          <w:b/>
          <w:bCs/>
          <w:sz w:val="24"/>
          <w:szCs w:val="24"/>
          <w:rtl/>
        </w:rPr>
        <w:t xml:space="preserve"> </w:t>
      </w:r>
      <w:r w:rsidRPr="002D1702">
        <w:rPr>
          <w:rFonts w:ascii="David" w:hAnsi="David" w:cs="David" w:hint="eastAsia"/>
          <w:b/>
          <w:bCs/>
          <w:sz w:val="24"/>
          <w:szCs w:val="24"/>
          <w:rtl/>
        </w:rPr>
        <w:t>הסיכון</w:t>
      </w:r>
      <w:r w:rsidRPr="002D1702">
        <w:rPr>
          <w:rFonts w:ascii="David" w:hAnsi="David" w:cs="David"/>
          <w:b/>
          <w:bCs/>
          <w:sz w:val="24"/>
          <w:szCs w:val="24"/>
          <w:rtl/>
        </w:rPr>
        <w:t xml:space="preserve"> </w:t>
      </w:r>
      <w:r w:rsidRPr="002D1702">
        <w:rPr>
          <w:rFonts w:ascii="David" w:hAnsi="David" w:cs="David" w:hint="eastAsia"/>
          <w:b/>
          <w:bCs/>
          <w:sz w:val="24"/>
          <w:szCs w:val="24"/>
          <w:rtl/>
        </w:rPr>
        <w:t>הבלתי</w:t>
      </w:r>
      <w:r w:rsidRPr="002D1702">
        <w:rPr>
          <w:rFonts w:ascii="David" w:hAnsi="David" w:cs="David"/>
          <w:b/>
          <w:bCs/>
          <w:sz w:val="24"/>
          <w:szCs w:val="24"/>
          <w:rtl/>
        </w:rPr>
        <w:t xml:space="preserve"> </w:t>
      </w:r>
      <w:r w:rsidRPr="002D1702">
        <w:rPr>
          <w:rFonts w:ascii="David" w:hAnsi="David" w:cs="David" w:hint="eastAsia"/>
          <w:b/>
          <w:bCs/>
          <w:sz w:val="24"/>
          <w:szCs w:val="24"/>
          <w:rtl/>
        </w:rPr>
        <w:t>סביר</w:t>
      </w:r>
      <w:r w:rsidRPr="002D1702">
        <w:rPr>
          <w:rFonts w:ascii="David" w:hAnsi="David" w:cs="David"/>
          <w:b/>
          <w:bCs/>
          <w:sz w:val="24"/>
          <w:szCs w:val="24"/>
          <w:rtl/>
        </w:rPr>
        <w:t xml:space="preserve"> (</w:t>
      </w:r>
      <w:r w:rsidRPr="002D1702">
        <w:rPr>
          <w:rFonts w:ascii="David" w:hAnsi="David" w:cs="David" w:hint="eastAsia"/>
          <w:b/>
          <w:bCs/>
          <w:sz w:val="24"/>
          <w:szCs w:val="24"/>
          <w:rtl/>
        </w:rPr>
        <w:t>למרות</w:t>
      </w:r>
      <w:r w:rsidRPr="002D1702">
        <w:rPr>
          <w:rFonts w:ascii="David" w:hAnsi="David" w:cs="David"/>
          <w:b/>
          <w:bCs/>
          <w:sz w:val="24"/>
          <w:szCs w:val="24"/>
          <w:rtl/>
        </w:rPr>
        <w:t xml:space="preserve"> </w:t>
      </w:r>
      <w:r w:rsidRPr="002D1702">
        <w:rPr>
          <w:rFonts w:ascii="David" w:hAnsi="David" w:cs="David" w:hint="eastAsia"/>
          <w:b/>
          <w:bCs/>
          <w:sz w:val="24"/>
          <w:szCs w:val="24"/>
          <w:rtl/>
        </w:rPr>
        <w:t>שהיה</w:t>
      </w:r>
      <w:r w:rsidRPr="002D1702">
        <w:rPr>
          <w:rFonts w:ascii="David" w:hAnsi="David" w:cs="David"/>
          <w:b/>
          <w:bCs/>
          <w:sz w:val="24"/>
          <w:szCs w:val="24"/>
          <w:rtl/>
        </w:rPr>
        <w:t xml:space="preserve"> </w:t>
      </w:r>
      <w:r w:rsidRPr="002D1702">
        <w:rPr>
          <w:rFonts w:ascii="David" w:hAnsi="David" w:cs="David" w:hint="eastAsia"/>
          <w:b/>
          <w:bCs/>
          <w:sz w:val="24"/>
          <w:szCs w:val="24"/>
          <w:rtl/>
        </w:rPr>
        <w:t>צריך</w:t>
      </w:r>
      <w:r w:rsidRPr="002D1702">
        <w:rPr>
          <w:rFonts w:ascii="David" w:hAnsi="David" w:cs="David"/>
          <w:b/>
          <w:bCs/>
          <w:sz w:val="24"/>
          <w:szCs w:val="24"/>
          <w:rtl/>
        </w:rPr>
        <w:t xml:space="preserve"> </w:t>
      </w:r>
      <w:r w:rsidRPr="002D1702">
        <w:rPr>
          <w:rFonts w:ascii="David" w:hAnsi="David" w:cs="David" w:hint="eastAsia"/>
          <w:b/>
          <w:bCs/>
          <w:sz w:val="24"/>
          <w:szCs w:val="24"/>
          <w:rtl/>
        </w:rPr>
        <w:t>להיות</w:t>
      </w:r>
      <w:r w:rsidRPr="002D1702">
        <w:rPr>
          <w:rFonts w:ascii="David" w:hAnsi="David" w:cs="David"/>
          <w:b/>
          <w:bCs/>
          <w:sz w:val="24"/>
          <w:szCs w:val="24"/>
          <w:rtl/>
        </w:rPr>
        <w:t xml:space="preserve"> </w:t>
      </w:r>
      <w:r w:rsidRPr="002D1702">
        <w:rPr>
          <w:rFonts w:ascii="David" w:hAnsi="David" w:cs="David" w:hint="eastAsia"/>
          <w:b/>
          <w:bCs/>
          <w:sz w:val="24"/>
          <w:szCs w:val="24"/>
          <w:rtl/>
        </w:rPr>
        <w:t>מודע</w:t>
      </w:r>
      <w:r w:rsidRPr="002D1702">
        <w:rPr>
          <w:rFonts w:ascii="David" w:hAnsi="David" w:cs="David"/>
          <w:b/>
          <w:bCs/>
          <w:sz w:val="24"/>
          <w:szCs w:val="24"/>
          <w:rtl/>
        </w:rPr>
        <w:t xml:space="preserve"> </w:t>
      </w:r>
      <w:r w:rsidRPr="002D1702">
        <w:rPr>
          <w:rFonts w:ascii="David" w:hAnsi="David" w:cs="David" w:hint="eastAsia"/>
          <w:b/>
          <w:bCs/>
          <w:sz w:val="24"/>
          <w:szCs w:val="24"/>
          <w:rtl/>
        </w:rPr>
        <w:t>לו</w:t>
      </w:r>
      <w:r w:rsidRPr="002D1702">
        <w:rPr>
          <w:rFonts w:ascii="David" w:hAnsi="David" w:cs="David"/>
          <w:b/>
          <w:bCs/>
          <w:sz w:val="24"/>
          <w:szCs w:val="24"/>
          <w:rtl/>
        </w:rPr>
        <w:t xml:space="preserve">); </w:t>
      </w:r>
      <w:r w:rsidRPr="002D1702">
        <w:rPr>
          <w:rFonts w:ascii="David" w:hAnsi="David" w:cs="David" w:hint="eastAsia"/>
          <w:b/>
          <w:bCs/>
          <w:sz w:val="24"/>
          <w:szCs w:val="24"/>
          <w:rtl/>
        </w:rPr>
        <w:t>קל</w:t>
      </w:r>
      <w:r w:rsidRPr="002D1702">
        <w:rPr>
          <w:rFonts w:ascii="David" w:hAnsi="David" w:cs="David"/>
          <w:b/>
          <w:bCs/>
          <w:sz w:val="24"/>
          <w:szCs w:val="24"/>
          <w:rtl/>
        </w:rPr>
        <w:t xml:space="preserve"> </w:t>
      </w:r>
      <w:r w:rsidRPr="002D1702">
        <w:rPr>
          <w:rFonts w:ascii="David" w:hAnsi="David" w:cs="David" w:hint="eastAsia"/>
          <w:b/>
          <w:bCs/>
          <w:sz w:val="24"/>
          <w:szCs w:val="24"/>
          <w:rtl/>
        </w:rPr>
        <w:t>הדעת</w:t>
      </w:r>
      <w:r w:rsidRPr="002D1702">
        <w:rPr>
          <w:rFonts w:ascii="David" w:hAnsi="David" w:cs="David"/>
          <w:b/>
          <w:bCs/>
          <w:sz w:val="24"/>
          <w:szCs w:val="24"/>
          <w:rtl/>
        </w:rPr>
        <w:t xml:space="preserve"> </w:t>
      </w:r>
      <w:r w:rsidRPr="002D1702">
        <w:rPr>
          <w:rFonts w:ascii="David" w:hAnsi="David" w:cs="David" w:hint="eastAsia"/>
          <w:b/>
          <w:bCs/>
          <w:sz w:val="24"/>
          <w:szCs w:val="24"/>
          <w:rtl/>
        </w:rPr>
        <w:t>מודע</w:t>
      </w:r>
      <w:r w:rsidRPr="002D1702">
        <w:rPr>
          <w:rFonts w:ascii="David" w:hAnsi="David" w:cs="David"/>
          <w:b/>
          <w:bCs/>
          <w:sz w:val="24"/>
          <w:szCs w:val="24"/>
          <w:rtl/>
        </w:rPr>
        <w:t xml:space="preserve"> </w:t>
      </w:r>
      <w:r w:rsidRPr="002D1702">
        <w:rPr>
          <w:rFonts w:ascii="David" w:hAnsi="David" w:cs="David" w:hint="eastAsia"/>
          <w:b/>
          <w:bCs/>
          <w:sz w:val="24"/>
          <w:szCs w:val="24"/>
          <w:rtl/>
        </w:rPr>
        <w:t>מבחינה</w:t>
      </w:r>
      <w:r w:rsidRPr="002D1702">
        <w:rPr>
          <w:rFonts w:ascii="David" w:hAnsi="David" w:cs="David"/>
          <w:b/>
          <w:bCs/>
          <w:sz w:val="24"/>
          <w:szCs w:val="24"/>
          <w:rtl/>
        </w:rPr>
        <w:t xml:space="preserve"> </w:t>
      </w:r>
      <w:r w:rsidRPr="002D1702">
        <w:rPr>
          <w:rFonts w:ascii="David" w:hAnsi="David" w:cs="David" w:hint="eastAsia"/>
          <w:b/>
          <w:bCs/>
          <w:sz w:val="24"/>
          <w:szCs w:val="24"/>
          <w:rtl/>
        </w:rPr>
        <w:t>סובייקטיבית</w:t>
      </w:r>
      <w:r w:rsidRPr="002D1702">
        <w:rPr>
          <w:rFonts w:ascii="David" w:hAnsi="David" w:cs="David"/>
          <w:b/>
          <w:bCs/>
          <w:sz w:val="24"/>
          <w:szCs w:val="24"/>
          <w:rtl/>
        </w:rPr>
        <w:t xml:space="preserve"> </w:t>
      </w:r>
      <w:r w:rsidRPr="002D1702">
        <w:rPr>
          <w:rFonts w:ascii="David" w:hAnsi="David" w:cs="David" w:hint="eastAsia"/>
          <w:b/>
          <w:bCs/>
          <w:sz w:val="24"/>
          <w:szCs w:val="24"/>
          <w:rtl/>
        </w:rPr>
        <w:t>לקיומו</w:t>
      </w:r>
      <w:r w:rsidRPr="002D1702">
        <w:rPr>
          <w:rFonts w:ascii="David" w:hAnsi="David" w:cs="David"/>
          <w:b/>
          <w:bCs/>
          <w:sz w:val="24"/>
          <w:szCs w:val="24"/>
          <w:rtl/>
        </w:rPr>
        <w:t xml:space="preserve"> </w:t>
      </w:r>
      <w:r w:rsidRPr="002D1702">
        <w:rPr>
          <w:rFonts w:ascii="David" w:hAnsi="David" w:cs="David" w:hint="eastAsia"/>
          <w:b/>
          <w:bCs/>
          <w:sz w:val="24"/>
          <w:szCs w:val="24"/>
          <w:rtl/>
        </w:rPr>
        <w:t>של</w:t>
      </w:r>
      <w:r w:rsidRPr="002D1702">
        <w:rPr>
          <w:rFonts w:ascii="David" w:hAnsi="David" w:cs="David"/>
          <w:b/>
          <w:bCs/>
          <w:sz w:val="24"/>
          <w:szCs w:val="24"/>
          <w:rtl/>
        </w:rPr>
        <w:t xml:space="preserve"> </w:t>
      </w:r>
      <w:r w:rsidRPr="002D1702">
        <w:rPr>
          <w:rFonts w:ascii="David" w:hAnsi="David" w:cs="David" w:hint="eastAsia"/>
          <w:b/>
          <w:bCs/>
          <w:sz w:val="24"/>
          <w:szCs w:val="24"/>
          <w:rtl/>
        </w:rPr>
        <w:t>הסיכון</w:t>
      </w:r>
      <w:r w:rsidRPr="002D1702">
        <w:rPr>
          <w:rFonts w:ascii="David" w:hAnsi="David" w:cs="David"/>
          <w:b/>
          <w:bCs/>
          <w:sz w:val="24"/>
          <w:szCs w:val="24"/>
          <w:rtl/>
        </w:rPr>
        <w:t xml:space="preserve"> </w:t>
      </w:r>
      <w:r w:rsidRPr="002D1702">
        <w:rPr>
          <w:rFonts w:ascii="David" w:hAnsi="David" w:cs="David" w:hint="eastAsia"/>
          <w:b/>
          <w:bCs/>
          <w:sz w:val="24"/>
          <w:szCs w:val="24"/>
          <w:rtl/>
        </w:rPr>
        <w:t>הבלתי</w:t>
      </w:r>
      <w:r w:rsidRPr="002D1702">
        <w:rPr>
          <w:rFonts w:ascii="David" w:hAnsi="David" w:cs="David"/>
          <w:b/>
          <w:bCs/>
          <w:sz w:val="24"/>
          <w:szCs w:val="24"/>
          <w:rtl/>
        </w:rPr>
        <w:t xml:space="preserve"> </w:t>
      </w:r>
      <w:r w:rsidRPr="002D1702">
        <w:rPr>
          <w:rFonts w:ascii="David" w:hAnsi="David" w:cs="David" w:hint="eastAsia"/>
          <w:b/>
          <w:bCs/>
          <w:sz w:val="24"/>
          <w:szCs w:val="24"/>
          <w:rtl/>
        </w:rPr>
        <w:t>סביר</w:t>
      </w:r>
      <w:r w:rsidRPr="002D1702">
        <w:rPr>
          <w:rFonts w:ascii="David" w:hAnsi="David" w:cs="David"/>
          <w:b/>
          <w:bCs/>
          <w:sz w:val="24"/>
          <w:szCs w:val="24"/>
          <w:rtl/>
        </w:rPr>
        <w:t xml:space="preserve"> (</w:t>
      </w:r>
      <w:r w:rsidRPr="002D1702">
        <w:rPr>
          <w:rFonts w:ascii="David" w:hAnsi="David" w:cs="David" w:hint="eastAsia"/>
          <w:b/>
          <w:bCs/>
          <w:sz w:val="24"/>
          <w:szCs w:val="24"/>
          <w:rtl/>
        </w:rPr>
        <w:t>ומחליט</w:t>
      </w:r>
      <w:r w:rsidRPr="002D1702">
        <w:rPr>
          <w:rFonts w:ascii="David" w:hAnsi="David" w:cs="David"/>
          <w:b/>
          <w:bCs/>
          <w:sz w:val="24"/>
          <w:szCs w:val="24"/>
          <w:rtl/>
        </w:rPr>
        <w:t xml:space="preserve"> </w:t>
      </w:r>
      <w:r w:rsidRPr="002D1702">
        <w:rPr>
          <w:rFonts w:ascii="David" w:hAnsi="David" w:cs="David" w:hint="eastAsia"/>
          <w:b/>
          <w:bCs/>
          <w:sz w:val="24"/>
          <w:szCs w:val="24"/>
          <w:rtl/>
        </w:rPr>
        <w:t>במודע</w:t>
      </w:r>
      <w:r w:rsidRPr="002D1702">
        <w:rPr>
          <w:rFonts w:ascii="David" w:hAnsi="David" w:cs="David"/>
          <w:b/>
          <w:bCs/>
          <w:sz w:val="24"/>
          <w:szCs w:val="24"/>
          <w:rtl/>
        </w:rPr>
        <w:t xml:space="preserve"> </w:t>
      </w:r>
      <w:r w:rsidRPr="002D1702">
        <w:rPr>
          <w:rFonts w:ascii="David" w:hAnsi="David" w:cs="David" w:hint="eastAsia"/>
          <w:b/>
          <w:bCs/>
          <w:sz w:val="24"/>
          <w:szCs w:val="24"/>
          <w:rtl/>
        </w:rPr>
        <w:t>ליטול</w:t>
      </w:r>
      <w:r w:rsidRPr="002D1702">
        <w:rPr>
          <w:rFonts w:ascii="David" w:hAnsi="David" w:cs="David"/>
          <w:b/>
          <w:bCs/>
          <w:sz w:val="24"/>
          <w:szCs w:val="24"/>
          <w:rtl/>
        </w:rPr>
        <w:t xml:space="preserve"> </w:t>
      </w:r>
      <w:r w:rsidRPr="002D1702">
        <w:rPr>
          <w:rFonts w:ascii="David" w:hAnsi="David" w:cs="David" w:hint="eastAsia"/>
          <w:b/>
          <w:bCs/>
          <w:sz w:val="24"/>
          <w:szCs w:val="24"/>
          <w:rtl/>
        </w:rPr>
        <w:t>אותו</w:t>
      </w:r>
      <w:r w:rsidRPr="002D1702">
        <w:rPr>
          <w:rFonts w:ascii="David" w:hAnsi="David" w:cs="David"/>
          <w:b/>
          <w:bCs/>
          <w:sz w:val="24"/>
          <w:szCs w:val="24"/>
          <w:rtl/>
        </w:rPr>
        <w:t xml:space="preserve"> </w:t>
      </w:r>
      <w:r w:rsidRPr="002D1702">
        <w:rPr>
          <w:rFonts w:ascii="David" w:hAnsi="David" w:cs="David" w:hint="eastAsia"/>
          <w:b/>
          <w:bCs/>
          <w:sz w:val="24"/>
          <w:szCs w:val="24"/>
          <w:rtl/>
        </w:rPr>
        <w:t>מתוך</w:t>
      </w:r>
      <w:r w:rsidRPr="002D1702">
        <w:rPr>
          <w:rFonts w:ascii="David" w:hAnsi="David" w:cs="David"/>
          <w:b/>
          <w:bCs/>
          <w:sz w:val="24"/>
          <w:szCs w:val="24"/>
          <w:rtl/>
        </w:rPr>
        <w:t xml:space="preserve"> </w:t>
      </w:r>
      <w:r w:rsidRPr="002D1702">
        <w:rPr>
          <w:rFonts w:ascii="David" w:hAnsi="David" w:cs="David" w:hint="eastAsia"/>
          <w:b/>
          <w:bCs/>
          <w:sz w:val="24"/>
          <w:szCs w:val="24"/>
          <w:rtl/>
        </w:rPr>
        <w:t>תקווה</w:t>
      </w:r>
      <w:r w:rsidRPr="002D1702">
        <w:rPr>
          <w:rFonts w:ascii="David" w:hAnsi="David" w:cs="David"/>
          <w:b/>
          <w:bCs/>
          <w:sz w:val="24"/>
          <w:szCs w:val="24"/>
          <w:rtl/>
        </w:rPr>
        <w:t xml:space="preserve"> </w:t>
      </w:r>
      <w:r w:rsidRPr="002D1702">
        <w:rPr>
          <w:rFonts w:ascii="David" w:hAnsi="David" w:cs="David" w:hint="eastAsia"/>
          <w:b/>
          <w:bCs/>
          <w:sz w:val="24"/>
          <w:szCs w:val="24"/>
          <w:rtl/>
        </w:rPr>
        <w:t>שלא</w:t>
      </w:r>
      <w:r w:rsidRPr="002D1702">
        <w:rPr>
          <w:rFonts w:ascii="David" w:hAnsi="David" w:cs="David"/>
          <w:b/>
          <w:bCs/>
          <w:sz w:val="24"/>
          <w:szCs w:val="24"/>
          <w:rtl/>
        </w:rPr>
        <w:t xml:space="preserve"> </w:t>
      </w:r>
      <w:r w:rsidRPr="002D1702">
        <w:rPr>
          <w:rFonts w:ascii="David" w:hAnsi="David" w:cs="David" w:hint="eastAsia"/>
          <w:b/>
          <w:bCs/>
          <w:sz w:val="24"/>
          <w:szCs w:val="24"/>
          <w:rtl/>
        </w:rPr>
        <w:t>יתממש</w:t>
      </w:r>
      <w:r w:rsidRPr="002D1702">
        <w:rPr>
          <w:rFonts w:ascii="David" w:hAnsi="David" w:cs="David"/>
          <w:b/>
          <w:bCs/>
          <w:sz w:val="24"/>
          <w:szCs w:val="24"/>
          <w:rtl/>
        </w:rPr>
        <w:t xml:space="preserve">). </w:t>
      </w:r>
      <w:r w:rsidRPr="002D1702">
        <w:rPr>
          <w:rFonts w:ascii="David" w:hAnsi="David" w:cs="David" w:hint="eastAsia"/>
          <w:b/>
          <w:bCs/>
          <w:sz w:val="24"/>
          <w:szCs w:val="24"/>
          <w:rtl/>
        </w:rPr>
        <w:t>זוהי</w:t>
      </w:r>
      <w:r w:rsidRPr="002D1702">
        <w:rPr>
          <w:rFonts w:ascii="David" w:hAnsi="David" w:cs="David"/>
          <w:b/>
          <w:bCs/>
          <w:sz w:val="24"/>
          <w:szCs w:val="24"/>
          <w:rtl/>
        </w:rPr>
        <w:t xml:space="preserve"> </w:t>
      </w:r>
      <w:r w:rsidRPr="002D1702">
        <w:rPr>
          <w:rFonts w:ascii="David" w:hAnsi="David" w:cs="David" w:hint="eastAsia"/>
          <w:b/>
          <w:bCs/>
          <w:sz w:val="24"/>
          <w:szCs w:val="24"/>
          <w:rtl/>
        </w:rPr>
        <w:t>כל</w:t>
      </w:r>
      <w:r w:rsidRPr="002D1702">
        <w:rPr>
          <w:rFonts w:ascii="David" w:hAnsi="David" w:cs="David"/>
          <w:b/>
          <w:bCs/>
          <w:sz w:val="24"/>
          <w:szCs w:val="24"/>
          <w:rtl/>
        </w:rPr>
        <w:t xml:space="preserve"> </w:t>
      </w:r>
      <w:r w:rsidRPr="002D1702">
        <w:rPr>
          <w:rFonts w:ascii="David" w:hAnsi="David" w:cs="David" w:hint="eastAsia"/>
          <w:b/>
          <w:bCs/>
          <w:sz w:val="24"/>
          <w:szCs w:val="24"/>
          <w:rtl/>
        </w:rPr>
        <w:t>ההבחנה</w:t>
      </w:r>
      <w:r w:rsidRPr="002D1702">
        <w:rPr>
          <w:rFonts w:ascii="David" w:hAnsi="David" w:cs="David"/>
          <w:b/>
          <w:bCs/>
          <w:sz w:val="24"/>
          <w:szCs w:val="24"/>
          <w:rtl/>
        </w:rPr>
        <w:t xml:space="preserve"> </w:t>
      </w:r>
      <w:r w:rsidRPr="002D1702">
        <w:rPr>
          <w:rFonts w:ascii="David" w:hAnsi="David" w:cs="David" w:hint="eastAsia"/>
          <w:b/>
          <w:bCs/>
          <w:sz w:val="24"/>
          <w:szCs w:val="24"/>
          <w:rtl/>
        </w:rPr>
        <w:t>כולה</w:t>
      </w:r>
      <w:r w:rsidRPr="002D1702">
        <w:rPr>
          <w:rFonts w:ascii="David" w:hAnsi="David" w:cs="David"/>
          <w:b/>
          <w:bCs/>
          <w:sz w:val="24"/>
          <w:szCs w:val="24"/>
          <w:rtl/>
        </w:rPr>
        <w:t xml:space="preserve"> – </w:t>
      </w:r>
      <w:r w:rsidRPr="002D1702">
        <w:rPr>
          <w:rFonts w:ascii="David" w:hAnsi="David" w:cs="David" w:hint="eastAsia"/>
          <w:b/>
          <w:bCs/>
          <w:sz w:val="24"/>
          <w:szCs w:val="24"/>
          <w:rtl/>
        </w:rPr>
        <w:t>ואידך</w:t>
      </w:r>
      <w:r w:rsidRPr="002D1702">
        <w:rPr>
          <w:rFonts w:ascii="David" w:hAnsi="David" w:cs="David"/>
          <w:b/>
          <w:bCs/>
          <w:sz w:val="24"/>
          <w:szCs w:val="24"/>
          <w:rtl/>
        </w:rPr>
        <w:t xml:space="preserve">, </w:t>
      </w:r>
      <w:r w:rsidRPr="002D1702">
        <w:rPr>
          <w:rFonts w:ascii="David" w:hAnsi="David" w:cs="David" w:hint="eastAsia"/>
          <w:b/>
          <w:bCs/>
          <w:sz w:val="24"/>
          <w:szCs w:val="24"/>
          <w:rtl/>
        </w:rPr>
        <w:t>יישומה</w:t>
      </w:r>
      <w:r w:rsidRPr="002D1702">
        <w:rPr>
          <w:rFonts w:ascii="David" w:hAnsi="David" w:cs="David"/>
          <w:b/>
          <w:bCs/>
          <w:sz w:val="24"/>
          <w:szCs w:val="24"/>
          <w:rtl/>
        </w:rPr>
        <w:t xml:space="preserve"> </w:t>
      </w:r>
      <w:r w:rsidRPr="002D1702">
        <w:rPr>
          <w:rFonts w:ascii="David" w:hAnsi="David" w:cs="David" w:hint="eastAsia"/>
          <w:b/>
          <w:bCs/>
          <w:sz w:val="24"/>
          <w:szCs w:val="24"/>
          <w:rtl/>
        </w:rPr>
        <w:t>הוא</w:t>
      </w:r>
      <w:r w:rsidRPr="002D1702">
        <w:rPr>
          <w:rFonts w:ascii="David" w:hAnsi="David" w:cs="David" w:hint="cs"/>
          <w:b/>
          <w:bCs/>
          <w:sz w:val="24"/>
          <w:szCs w:val="24"/>
          <w:rtl/>
        </w:rPr>
        <w:t>"</w:t>
      </w:r>
      <w:r w:rsidRPr="002D1702">
        <w:rPr>
          <w:rFonts w:ascii="David" w:hAnsi="David" w:cs="David"/>
          <w:b/>
          <w:bCs/>
          <w:sz w:val="24"/>
          <w:szCs w:val="24"/>
          <w:rtl/>
        </w:rPr>
        <w:t>.</w:t>
      </w:r>
    </w:p>
    <w:p w:rsidR="00272CAC" w:rsidRPr="002D1702" w:rsidRDefault="00272CAC" w:rsidP="00272CAC">
      <w:pPr>
        <w:pStyle w:val="ac"/>
        <w:spacing w:after="0" w:line="360" w:lineRule="auto"/>
        <w:ind w:left="360"/>
        <w:jc w:val="both"/>
        <w:rPr>
          <w:rFonts w:ascii="David" w:hAnsi="David" w:cs="David"/>
          <w:sz w:val="24"/>
          <w:szCs w:val="24"/>
          <w:rtl/>
        </w:rPr>
      </w:pPr>
    </w:p>
    <w:p w:rsidR="00272CAC" w:rsidRPr="0025728F" w:rsidRDefault="00272CAC" w:rsidP="00272CAC">
      <w:pPr>
        <w:pStyle w:val="ac"/>
        <w:spacing w:after="0" w:line="360" w:lineRule="auto"/>
        <w:ind w:left="360"/>
        <w:jc w:val="both"/>
      </w:pPr>
      <w:r w:rsidRPr="00D75804">
        <w:rPr>
          <w:rFonts w:ascii="David" w:hAnsi="David" w:cs="David" w:hint="cs"/>
          <w:sz w:val="24"/>
          <w:szCs w:val="24"/>
          <w:rtl/>
        </w:rPr>
        <w:t>בענייננו</w:t>
      </w:r>
      <w:r>
        <w:rPr>
          <w:rFonts w:ascii="David" w:hAnsi="David" w:cs="David" w:hint="cs"/>
          <w:sz w:val="24"/>
          <w:szCs w:val="24"/>
          <w:rtl/>
        </w:rPr>
        <w:t>,</w:t>
      </w:r>
      <w:r w:rsidRPr="00D75804">
        <w:rPr>
          <w:rFonts w:ascii="David" w:hAnsi="David" w:cs="David" w:hint="cs"/>
          <w:sz w:val="24"/>
          <w:szCs w:val="24"/>
          <w:rtl/>
        </w:rPr>
        <w:t xml:space="preserve"> הוכח שהנאשם </w:t>
      </w:r>
      <w:r w:rsidRPr="00D75804">
        <w:rPr>
          <w:rFonts w:ascii="David" w:hAnsi="David" w:cs="David" w:hint="cs"/>
          <w:sz w:val="24"/>
          <w:szCs w:val="24"/>
          <w:u w:val="single"/>
          <w:rtl/>
        </w:rPr>
        <w:t>היה מודע</w:t>
      </w:r>
      <w:r w:rsidRPr="00D75804">
        <w:rPr>
          <w:rFonts w:ascii="David" w:hAnsi="David" w:cs="David" w:hint="cs"/>
          <w:sz w:val="24"/>
          <w:szCs w:val="24"/>
          <w:rtl/>
        </w:rPr>
        <w:t xml:space="preserve"> לטיב מעשיו ולנסיבות הרלוונטיות וכן היה מודע לתוצאות האפשרויות ממעשיו. </w:t>
      </w:r>
      <w:r w:rsidRPr="00064D3F">
        <w:rPr>
          <w:rFonts w:ascii="David" w:hAnsi="David" w:cs="David" w:hint="cs"/>
          <w:sz w:val="24"/>
          <w:szCs w:val="24"/>
          <w:rtl/>
        </w:rPr>
        <w:t xml:space="preserve">הנאשם אישר זאת אינספור פעמים </w:t>
      </w:r>
      <w:r w:rsidRPr="00064D3F">
        <w:rPr>
          <w:rFonts w:ascii="David" w:hAnsi="David" w:cs="David"/>
          <w:sz w:val="24"/>
          <w:szCs w:val="24"/>
          <w:rtl/>
        </w:rPr>
        <w:t>–</w:t>
      </w:r>
      <w:r w:rsidRPr="00064D3F">
        <w:rPr>
          <w:rFonts w:ascii="David" w:hAnsi="David" w:cs="David" w:hint="cs"/>
          <w:sz w:val="24"/>
          <w:szCs w:val="24"/>
          <w:rtl/>
        </w:rPr>
        <w:t xml:space="preserve"> הן בחקירותיו במח"ש והן בעדותו לפנינו. מדובר בלוחם מג"ב שעבר אינספור הדרכות ומטווחים, וגם אלמלא אישורו את מודעותו לטיב מעשיו, לקיום הנסיבות, ולאפשרות הגרימה של תוצאות מעשיו, עומדת לחובתו </w:t>
      </w:r>
      <w:r w:rsidRPr="00064D3F">
        <w:rPr>
          <w:rFonts w:ascii="David" w:hAnsi="David" w:cs="David"/>
          <w:sz w:val="24"/>
          <w:szCs w:val="24"/>
          <w:rtl/>
        </w:rPr>
        <w:t>חזקת המודעות הכללית</w:t>
      </w:r>
      <w:r w:rsidRPr="00114994">
        <w:rPr>
          <w:rFonts w:ascii="David" w:hAnsi="David" w:cs="David"/>
          <w:sz w:val="24"/>
          <w:szCs w:val="24"/>
          <w:rtl/>
        </w:rPr>
        <w:t xml:space="preserve">, </w:t>
      </w:r>
      <w:r w:rsidRPr="00114994">
        <w:rPr>
          <w:rFonts w:ascii="David" w:hAnsi="David" w:cs="David" w:hint="cs"/>
          <w:sz w:val="24"/>
          <w:szCs w:val="24"/>
          <w:rtl/>
        </w:rPr>
        <w:t xml:space="preserve">חזקה </w:t>
      </w:r>
      <w:r>
        <w:rPr>
          <w:rFonts w:ascii="David" w:hAnsi="David" w:cs="David" w:hint="cs"/>
          <w:sz w:val="24"/>
          <w:szCs w:val="24"/>
          <w:rtl/>
        </w:rPr>
        <w:t xml:space="preserve">שהיא </w:t>
      </w:r>
      <w:r w:rsidRPr="00114994">
        <w:rPr>
          <w:rFonts w:ascii="David" w:hAnsi="David" w:cs="David" w:hint="cs"/>
          <w:sz w:val="24"/>
          <w:szCs w:val="24"/>
          <w:rtl/>
        </w:rPr>
        <w:t>"ח</w:t>
      </w:r>
      <w:r>
        <w:rPr>
          <w:rFonts w:ascii="David" w:hAnsi="David" w:cs="David" w:hint="cs"/>
          <w:sz w:val="24"/>
          <w:szCs w:val="24"/>
          <w:rtl/>
        </w:rPr>
        <w:t>ְַ</w:t>
      </w:r>
      <w:r w:rsidRPr="00114994">
        <w:rPr>
          <w:rFonts w:ascii="David" w:hAnsi="David" w:cs="David" w:hint="cs"/>
          <w:sz w:val="24"/>
          <w:szCs w:val="24"/>
          <w:rtl/>
        </w:rPr>
        <w:t>ז</w:t>
      </w:r>
      <w:r>
        <w:rPr>
          <w:rFonts w:ascii="David" w:hAnsi="David" w:cs="David" w:hint="cs"/>
          <w:sz w:val="24"/>
          <w:szCs w:val="24"/>
          <w:rtl/>
        </w:rPr>
        <w:t>ָ</w:t>
      </w:r>
      <w:r w:rsidRPr="00114994">
        <w:rPr>
          <w:rFonts w:ascii="David" w:hAnsi="David" w:cs="David" w:hint="cs"/>
          <w:sz w:val="24"/>
          <w:szCs w:val="24"/>
          <w:rtl/>
        </w:rPr>
        <w:t>ק</w:t>
      </w:r>
      <w:r>
        <w:rPr>
          <w:rFonts w:ascii="David" w:hAnsi="David" w:cs="David" w:hint="cs"/>
          <w:sz w:val="24"/>
          <w:szCs w:val="24"/>
          <w:rtl/>
        </w:rPr>
        <w:t>ָ</w:t>
      </w:r>
      <w:r w:rsidRPr="00114994">
        <w:rPr>
          <w:rFonts w:ascii="David" w:hAnsi="David" w:cs="David" w:hint="cs"/>
          <w:sz w:val="24"/>
          <w:szCs w:val="24"/>
          <w:rtl/>
        </w:rPr>
        <w:t>ה" ביותר בעניינו</w:t>
      </w:r>
      <w:r>
        <w:rPr>
          <w:rFonts w:ascii="David" w:hAnsi="David" w:cs="David" w:hint="cs"/>
          <w:sz w:val="24"/>
          <w:szCs w:val="24"/>
          <w:rtl/>
        </w:rPr>
        <w:t>, בשים לב לנתוניו של הנאשם, ו</w:t>
      </w:r>
      <w:r w:rsidRPr="00114994">
        <w:rPr>
          <w:rFonts w:ascii="David" w:hAnsi="David" w:cs="David"/>
          <w:sz w:val="24"/>
          <w:szCs w:val="24"/>
          <w:rtl/>
        </w:rPr>
        <w:t xml:space="preserve">שלא </w:t>
      </w:r>
      <w:r w:rsidRPr="0025728F">
        <w:rPr>
          <w:rFonts w:ascii="David" w:hAnsi="David" w:cs="David"/>
          <w:sz w:val="24"/>
          <w:szCs w:val="24"/>
          <w:rtl/>
        </w:rPr>
        <w:t xml:space="preserve">נסתרה, ולפיה אדם מודע לתוצאות הצפויות כתוצאה ממעשיו (ור' בנדון </w:t>
      </w:r>
      <w:hyperlink r:id="rId9" w:history="1">
        <w:r w:rsidRPr="0025728F">
          <w:rPr>
            <w:rStyle w:val="Hyperlink"/>
            <w:rFonts w:ascii="David" w:hAnsi="David" w:cs="David"/>
            <w:color w:val="auto"/>
            <w:sz w:val="24"/>
            <w:szCs w:val="24"/>
            <w:u w:val="none"/>
            <w:rtl/>
          </w:rPr>
          <w:t>ע"פ 1196/99</w:t>
        </w:r>
      </w:hyperlink>
      <w:r w:rsidRPr="0025728F">
        <w:rPr>
          <w:rFonts w:ascii="David" w:hAnsi="David" w:cs="David"/>
          <w:b/>
          <w:bCs/>
          <w:sz w:val="24"/>
          <w:szCs w:val="24"/>
          <w:rtl/>
        </w:rPr>
        <w:t xml:space="preserve"> </w:t>
      </w:r>
      <w:r w:rsidRPr="0025728F">
        <w:rPr>
          <w:rFonts w:ascii="Miriam" w:hAnsi="Miriam" w:cs="Miriam"/>
          <w:sz w:val="24"/>
          <w:szCs w:val="24"/>
          <w:rtl/>
        </w:rPr>
        <w:t>ממדוב נ' מדינת ישראל</w:t>
      </w:r>
      <w:r w:rsidRPr="0025728F">
        <w:rPr>
          <w:rFonts w:ascii="David" w:hAnsi="David" w:cs="David"/>
          <w:b/>
          <w:bCs/>
          <w:sz w:val="24"/>
          <w:szCs w:val="24"/>
          <w:rtl/>
        </w:rPr>
        <w:t xml:space="preserve"> </w:t>
      </w:r>
      <w:r w:rsidRPr="0025728F">
        <w:rPr>
          <w:rFonts w:ascii="David" w:hAnsi="David" w:cs="David"/>
          <w:sz w:val="24"/>
          <w:szCs w:val="24"/>
          <w:rtl/>
        </w:rPr>
        <w:t>פ"ד נה(1) 700)</w:t>
      </w:r>
      <w:r w:rsidRPr="0025728F">
        <w:rPr>
          <w:rFonts w:ascii="David" w:hAnsi="David" w:cs="David" w:hint="cs"/>
          <w:sz w:val="24"/>
          <w:szCs w:val="24"/>
          <w:rtl/>
        </w:rPr>
        <w:t xml:space="preserve">; ע"פ 510/22 </w:t>
      </w:r>
      <w:r w:rsidRPr="0025728F">
        <w:rPr>
          <w:rFonts w:ascii="Miriam" w:hAnsi="Miriam" w:cs="Miriam"/>
          <w:sz w:val="24"/>
          <w:szCs w:val="24"/>
          <w:rtl/>
        </w:rPr>
        <w:t>טויטו נ' מדינת ישראל</w:t>
      </w:r>
      <w:r w:rsidRPr="0025728F">
        <w:rPr>
          <w:rFonts w:ascii="David" w:hAnsi="David" w:cs="David" w:hint="cs"/>
          <w:sz w:val="24"/>
          <w:szCs w:val="24"/>
          <w:rtl/>
        </w:rPr>
        <w:t xml:space="preserve"> (27.12.22)). </w:t>
      </w:r>
    </w:p>
    <w:p w:rsidR="00272CAC" w:rsidRPr="0025728F" w:rsidRDefault="00272CAC" w:rsidP="00272CAC">
      <w:pPr>
        <w:pStyle w:val="ac"/>
        <w:spacing w:after="0" w:line="360" w:lineRule="auto"/>
        <w:ind w:left="360"/>
        <w:jc w:val="both"/>
      </w:pPr>
    </w:p>
    <w:p w:rsidR="00272CAC" w:rsidRPr="00D75804" w:rsidRDefault="00272CAC" w:rsidP="00272CAC">
      <w:pPr>
        <w:pStyle w:val="ac"/>
        <w:spacing w:after="0" w:line="360" w:lineRule="auto"/>
        <w:ind w:left="360"/>
        <w:jc w:val="both"/>
        <w:rPr>
          <w:rFonts w:ascii="David" w:hAnsi="David" w:cs="David"/>
          <w:sz w:val="24"/>
          <w:szCs w:val="24"/>
          <w:rtl/>
        </w:rPr>
      </w:pPr>
      <w:r w:rsidRPr="00D75804">
        <w:rPr>
          <w:rFonts w:ascii="David" w:hAnsi="David" w:cs="David" w:hint="cs"/>
          <w:sz w:val="24"/>
          <w:szCs w:val="24"/>
          <w:rtl/>
        </w:rPr>
        <w:t xml:space="preserve">ולגבי הטענה האפשרית כי הנאשם לא היה מודע לנסיבות </w:t>
      </w:r>
      <w:r w:rsidRPr="00D75804">
        <w:rPr>
          <w:rFonts w:ascii="David" w:hAnsi="David" w:cs="David" w:hint="cs"/>
          <w:sz w:val="24"/>
          <w:szCs w:val="24"/>
          <w:u w:val="single"/>
          <w:rtl/>
        </w:rPr>
        <w:t>המדויקות</w:t>
      </w:r>
      <w:r w:rsidRPr="00D75804">
        <w:rPr>
          <w:rFonts w:ascii="David" w:hAnsi="David" w:cs="David" w:hint="cs"/>
          <w:sz w:val="24"/>
          <w:szCs w:val="24"/>
          <w:rtl/>
        </w:rPr>
        <w:t xml:space="preserve"> שכן לא ידע אודות הימצאות כדור בבית הבליעה, אפנה להלכה בע"פ 1971/98 </w:t>
      </w:r>
      <w:r w:rsidRPr="00D75804">
        <w:rPr>
          <w:rFonts w:ascii="Miriam" w:hAnsi="Miriam" w:cs="Miriam"/>
          <w:sz w:val="24"/>
          <w:szCs w:val="24"/>
          <w:rtl/>
        </w:rPr>
        <w:t>מדינת ישראל נ' מירו</w:t>
      </w:r>
      <w:r w:rsidRPr="00D75804">
        <w:rPr>
          <w:rFonts w:ascii="David" w:hAnsi="David" w:cs="David" w:hint="cs"/>
          <w:sz w:val="24"/>
          <w:szCs w:val="24"/>
          <w:rtl/>
        </w:rPr>
        <w:t xml:space="preserve">, פ"ד נב (5) 145 (להלן: </w:t>
      </w:r>
      <w:r w:rsidRPr="00D75804">
        <w:rPr>
          <w:rFonts w:ascii="David" w:hAnsi="David" w:cs="David" w:hint="cs"/>
          <w:b/>
          <w:bCs/>
          <w:sz w:val="24"/>
          <w:szCs w:val="24"/>
          <w:rtl/>
        </w:rPr>
        <w:t>עניין מירו</w:t>
      </w:r>
      <w:r w:rsidRPr="00D75804">
        <w:rPr>
          <w:rFonts w:ascii="David" w:hAnsi="David" w:cs="David" w:hint="cs"/>
          <w:sz w:val="24"/>
          <w:szCs w:val="24"/>
          <w:rtl/>
        </w:rPr>
        <w:t>)</w:t>
      </w:r>
      <w:r>
        <w:rPr>
          <w:rFonts w:ascii="David" w:hAnsi="David" w:cs="David" w:hint="cs"/>
          <w:sz w:val="24"/>
          <w:szCs w:val="24"/>
          <w:rtl/>
        </w:rPr>
        <w:t>,</w:t>
      </w:r>
      <w:r w:rsidRPr="00D75804">
        <w:rPr>
          <w:rFonts w:ascii="David" w:hAnsi="David" w:cs="David" w:hint="cs"/>
          <w:sz w:val="24"/>
          <w:szCs w:val="24"/>
          <w:rtl/>
        </w:rPr>
        <w:t xml:space="preserve"> שם נקבעו הדברים הבאים באשר למודעותו של מי שמחזיק ומתעסק בנשק:</w:t>
      </w:r>
    </w:p>
    <w:p w:rsidR="00272CAC" w:rsidRPr="00D75804" w:rsidRDefault="00272CAC" w:rsidP="00272CAC">
      <w:pPr>
        <w:pStyle w:val="ac"/>
        <w:spacing w:after="0" w:line="360" w:lineRule="auto"/>
        <w:ind w:left="360"/>
        <w:jc w:val="both"/>
        <w:rPr>
          <w:rFonts w:ascii="David" w:hAnsi="David" w:cs="David"/>
          <w:sz w:val="24"/>
          <w:szCs w:val="24"/>
          <w:rtl/>
        </w:rPr>
      </w:pPr>
    </w:p>
    <w:p w:rsidR="00272CAC" w:rsidRPr="00D75804" w:rsidRDefault="00272CAC" w:rsidP="00272CAC">
      <w:pPr>
        <w:pStyle w:val="ac"/>
        <w:spacing w:after="0" w:line="360" w:lineRule="auto"/>
        <w:ind w:left="360"/>
        <w:jc w:val="both"/>
      </w:pPr>
      <w:r w:rsidRPr="00D75804">
        <w:rPr>
          <w:rFonts w:ascii="David" w:hAnsi="David" w:cs="David" w:hint="cs"/>
          <w:b/>
          <w:bCs/>
          <w:sz w:val="24"/>
          <w:szCs w:val="24"/>
          <w:rtl/>
        </w:rPr>
        <w:t>"</w:t>
      </w:r>
      <w:r w:rsidRPr="00D75804">
        <w:rPr>
          <w:rFonts w:ascii="David" w:hAnsi="David" w:cs="David"/>
          <w:b/>
          <w:bCs/>
          <w:sz w:val="24"/>
          <w:szCs w:val="24"/>
          <w:rtl/>
        </w:rPr>
        <w:t>כשאנחנו אומרים שהוא צריך להיות מודע "לכל רכיבי היסוד העובדתי שבעבירה" אין זאת אומרת שהוא צריך לדעת שיש מחסנית באקדח. די בכך שהוא יודע שהאקדח כלי מסוכן, שיש כללי זהירות שצריך לנהוג לפיהם כדי לנטרל סכנה זו ושהוא לא נקט כללים אלו אף-על-פי שהוא יודע שאי-נקיטת אמצעי זהירות יכולה להיות קטלנית</w:t>
      </w:r>
      <w:r w:rsidRPr="00D75804">
        <w:rPr>
          <w:rFonts w:ascii="David" w:hAnsi="David" w:cs="David" w:hint="cs"/>
          <w:b/>
          <w:bCs/>
          <w:sz w:val="24"/>
          <w:szCs w:val="24"/>
          <w:rtl/>
        </w:rPr>
        <w:t>."</w:t>
      </w:r>
      <w:r w:rsidRPr="00D75804">
        <w:rPr>
          <w:rFonts w:hint="cs"/>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ובהמשך פסק הדין הוסיף השופט קדמי את הדברים הבאים:</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2D1702">
        <w:rPr>
          <w:rFonts w:ascii="David" w:hAnsi="David" w:cs="David" w:hint="cs"/>
          <w:b/>
          <w:bCs/>
          <w:sz w:val="24"/>
          <w:szCs w:val="24"/>
          <w:rtl/>
        </w:rPr>
        <w:t>"</w:t>
      </w:r>
      <w:r w:rsidRPr="002D1702">
        <w:rPr>
          <w:rFonts w:ascii="David" w:hAnsi="David" w:cs="David"/>
          <w:b/>
          <w:bCs/>
          <w:sz w:val="24"/>
          <w:szCs w:val="24"/>
          <w:rtl/>
        </w:rPr>
        <w:t>כלי נשק – כחפץ מסוכן מעצם טבעו – נחשב לעולם 'מוכן' לירי, וכל אדם</w:t>
      </w:r>
      <w:r w:rsidRPr="002D1702">
        <w:rPr>
          <w:rFonts w:ascii="David" w:hAnsi="David" w:cs="David" w:hint="cs"/>
          <w:b/>
          <w:bCs/>
          <w:sz w:val="24"/>
          <w:szCs w:val="24"/>
          <w:rtl/>
        </w:rPr>
        <w:t xml:space="preserve"> </w:t>
      </w:r>
      <w:r w:rsidRPr="002D1702">
        <w:rPr>
          <w:rFonts w:ascii="David" w:hAnsi="David" w:cs="David"/>
          <w:b/>
          <w:bCs/>
          <w:sz w:val="24"/>
          <w:szCs w:val="24"/>
          <w:rtl/>
        </w:rPr>
        <w:t>ממוצע בר-דעת מוחזק כמי שמודע לטיבו זה.</w:t>
      </w:r>
      <w:r w:rsidRPr="002D1702">
        <w:rPr>
          <w:rFonts w:ascii="David" w:hAnsi="David" w:cs="David" w:hint="cs"/>
          <w:b/>
          <w:bCs/>
          <w:sz w:val="24"/>
          <w:szCs w:val="24"/>
          <w:rtl/>
        </w:rPr>
        <w:t xml:space="preserve"> </w:t>
      </w:r>
      <w:r w:rsidRPr="002D1702">
        <w:rPr>
          <w:rFonts w:ascii="David" w:hAnsi="David" w:cs="David"/>
          <w:b/>
          <w:bCs/>
          <w:sz w:val="24"/>
          <w:szCs w:val="24"/>
          <w:rtl/>
        </w:rPr>
        <w:t>תו אופי זה של כלי נשק, אינו רק מכתיב כללי זהירות המחייבים את בדיקתו לפני 'הטיפול'</w:t>
      </w:r>
      <w:r w:rsidRPr="002D1702">
        <w:rPr>
          <w:rFonts w:ascii="David" w:hAnsi="David" w:cs="David" w:hint="cs"/>
          <w:b/>
          <w:bCs/>
          <w:sz w:val="24"/>
          <w:szCs w:val="24"/>
          <w:rtl/>
        </w:rPr>
        <w:t xml:space="preserve"> </w:t>
      </w:r>
      <w:r w:rsidRPr="002D1702">
        <w:rPr>
          <w:rFonts w:ascii="David" w:hAnsi="David" w:cs="David"/>
          <w:b/>
          <w:bCs/>
          <w:sz w:val="24"/>
          <w:szCs w:val="24"/>
          <w:rtl/>
        </w:rPr>
        <w:t>בו, אלא קובע אותו מלכתחילה בין הכלים המועדים 'תמיד' לירי. החובה לבדוק כלים</w:t>
      </w:r>
      <w:r w:rsidRPr="002D1702">
        <w:rPr>
          <w:rFonts w:ascii="David" w:hAnsi="David" w:cs="David" w:hint="cs"/>
          <w:b/>
          <w:bCs/>
          <w:sz w:val="24"/>
          <w:szCs w:val="24"/>
          <w:rtl/>
        </w:rPr>
        <w:t xml:space="preserve"> </w:t>
      </w:r>
      <w:r w:rsidRPr="002D1702">
        <w:rPr>
          <w:rFonts w:ascii="David" w:hAnsi="David" w:cs="David"/>
          <w:b/>
          <w:bCs/>
          <w:sz w:val="24"/>
          <w:szCs w:val="24"/>
          <w:rtl/>
        </w:rPr>
        <w:t>מסוג זה מדברת ב'שלילת' הסיכון, ולא ב'בירור' אם הוא קיים. נקודת המוצא היא</w:t>
      </w:r>
      <w:r w:rsidRPr="002D1702">
        <w:rPr>
          <w:rFonts w:ascii="David" w:hAnsi="David" w:cs="David" w:hint="cs"/>
          <w:b/>
          <w:bCs/>
          <w:sz w:val="24"/>
          <w:szCs w:val="24"/>
          <w:rtl/>
        </w:rPr>
        <w:t xml:space="preserve"> </w:t>
      </w:r>
      <w:r w:rsidRPr="002D1702">
        <w:rPr>
          <w:rFonts w:ascii="David" w:hAnsi="David" w:cs="David"/>
          <w:b/>
          <w:bCs/>
          <w:sz w:val="24"/>
          <w:szCs w:val="24"/>
          <w:rtl/>
        </w:rPr>
        <w:t>שהסיכון קיים, וכל אדם ממוצע בר-דעת מוחזק כמי שיודע זאת. סיכומם של דברים:</w:t>
      </w:r>
      <w:r w:rsidRPr="002D1702">
        <w:rPr>
          <w:rFonts w:ascii="David" w:hAnsi="David" w:cs="David" w:hint="cs"/>
          <w:b/>
          <w:bCs/>
          <w:sz w:val="24"/>
          <w:szCs w:val="24"/>
          <w:rtl/>
        </w:rPr>
        <w:t xml:space="preserve"> </w:t>
      </w:r>
      <w:r w:rsidRPr="002D1702">
        <w:rPr>
          <w:rFonts w:ascii="David" w:hAnsi="David" w:cs="David"/>
          <w:b/>
          <w:bCs/>
          <w:sz w:val="24"/>
          <w:szCs w:val="24"/>
          <w:rtl/>
        </w:rPr>
        <w:t>חזקה על כל אדם, שהוא ער ומודע לקיומה של אפשרות ממשית להתרחשותה של ירייה כתוצאה</w:t>
      </w:r>
      <w:r w:rsidRPr="002D1702">
        <w:rPr>
          <w:rFonts w:ascii="David" w:hAnsi="David" w:cs="David" w:hint="cs"/>
          <w:b/>
          <w:bCs/>
          <w:sz w:val="24"/>
          <w:szCs w:val="24"/>
          <w:rtl/>
        </w:rPr>
        <w:t xml:space="preserve"> </w:t>
      </w:r>
      <w:r w:rsidRPr="002D1702">
        <w:rPr>
          <w:rFonts w:ascii="David" w:hAnsi="David" w:cs="David"/>
          <w:b/>
          <w:bCs/>
          <w:sz w:val="24"/>
          <w:szCs w:val="24"/>
          <w:rtl/>
        </w:rPr>
        <w:t>מלחיצה על הדק של כלי ירייה, ואין זה מעלה או מוריד אם היה מודע לכך, שאותו כלי</w:t>
      </w:r>
      <w:r w:rsidRPr="002D1702">
        <w:rPr>
          <w:rFonts w:ascii="David" w:hAnsi="David" w:cs="David" w:hint="cs"/>
          <w:b/>
          <w:bCs/>
          <w:sz w:val="24"/>
          <w:szCs w:val="24"/>
          <w:rtl/>
        </w:rPr>
        <w:t xml:space="preserve"> </w:t>
      </w:r>
      <w:r w:rsidRPr="002D1702">
        <w:rPr>
          <w:rFonts w:ascii="David" w:hAnsi="David" w:cs="David"/>
          <w:b/>
          <w:bCs/>
          <w:sz w:val="24"/>
          <w:szCs w:val="24"/>
          <w:rtl/>
        </w:rPr>
        <w:t>ירייה טעון ו'מוכן' לירי אם לאו. אקדח, ככלי נשק שסיכון הירי 'טבוע' בו, לעולם</w:t>
      </w:r>
      <w:r w:rsidRPr="002D1702">
        <w:rPr>
          <w:rFonts w:ascii="David" w:hAnsi="David" w:cs="David" w:hint="cs"/>
          <w:b/>
          <w:bCs/>
          <w:sz w:val="24"/>
          <w:szCs w:val="24"/>
          <w:rtl/>
        </w:rPr>
        <w:t xml:space="preserve"> </w:t>
      </w:r>
      <w:r w:rsidRPr="002D1702">
        <w:rPr>
          <w:rFonts w:ascii="David" w:hAnsi="David" w:cs="David"/>
          <w:b/>
          <w:bCs/>
          <w:sz w:val="24"/>
          <w:szCs w:val="24"/>
          <w:rtl/>
        </w:rPr>
        <w:t>נחשב כ'מוכן' לירי, ומי שמטפל בו מוחזק כמי שמודע לכך"</w:t>
      </w:r>
      <w:r>
        <w:rPr>
          <w:rFonts w:ascii="David" w:hAnsi="David" w:cs="David" w:hint="cs"/>
          <w:sz w:val="24"/>
          <w:szCs w:val="24"/>
          <w:rtl/>
        </w:rPr>
        <w:t>.</w:t>
      </w:r>
      <w:r w:rsidRPr="002D1702">
        <w:rPr>
          <w:rFonts w:ascii="David" w:hAnsi="David" w:cs="David" w:hint="cs"/>
          <w:sz w:val="24"/>
          <w:szCs w:val="24"/>
          <w:rtl/>
        </w:rPr>
        <w:t xml:space="preserve"> </w:t>
      </w:r>
    </w:p>
    <w:p w:rsidR="00272CAC" w:rsidRPr="00D75804"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numPr>
          <w:ilvl w:val="0"/>
          <w:numId w:val="14"/>
        </w:numPr>
        <w:spacing w:after="0" w:line="360" w:lineRule="auto"/>
        <w:jc w:val="both"/>
        <w:rPr>
          <w:rFonts w:ascii="David" w:hAnsi="David" w:cs="David"/>
          <w:sz w:val="24"/>
          <w:szCs w:val="24"/>
        </w:rPr>
      </w:pPr>
      <w:r>
        <w:rPr>
          <w:rFonts w:ascii="David" w:hAnsi="David" w:cs="David" w:hint="cs"/>
          <w:sz w:val="24"/>
          <w:szCs w:val="24"/>
          <w:rtl/>
        </w:rPr>
        <w:t>נפנה אם כן ללב העניין והיא השאלה האם יש להרשיע את הנאשם בעבירה של רצח באדישות, כטענת המאשימה; או שמא המתה בקלות דעת כטענת ההגנה.</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0C784F">
        <w:rPr>
          <w:rFonts w:ascii="David" w:hAnsi="David" w:cs="David"/>
          <w:sz w:val="24"/>
          <w:szCs w:val="24"/>
          <w:rtl/>
        </w:rPr>
        <w:lastRenderedPageBreak/>
        <w:t>סעיף 300(א)</w:t>
      </w:r>
      <w:r w:rsidRPr="000C784F">
        <w:rPr>
          <w:rFonts w:ascii="David" w:hAnsi="David" w:cs="David" w:hint="cs"/>
          <w:sz w:val="24"/>
          <w:szCs w:val="24"/>
          <w:rtl/>
        </w:rPr>
        <w:t xml:space="preserve"> </w:t>
      </w:r>
      <w:r>
        <w:rPr>
          <w:rFonts w:ascii="David" w:hAnsi="David" w:cs="David" w:hint="cs"/>
          <w:sz w:val="24"/>
          <w:szCs w:val="24"/>
          <w:rtl/>
        </w:rPr>
        <w:t xml:space="preserve">לחוק העונשין הקובע את עבירת הרצח ה"בסיסית" </w:t>
      </w:r>
      <w:r w:rsidRPr="000C784F">
        <w:rPr>
          <w:rFonts w:ascii="David" w:hAnsi="David" w:cs="David" w:hint="cs"/>
          <w:sz w:val="24"/>
          <w:szCs w:val="24"/>
          <w:rtl/>
        </w:rPr>
        <w:t>לחוק העונשין קובע כך:</w:t>
      </w:r>
      <w:r w:rsidRPr="000C784F">
        <w:rPr>
          <w:rFonts w:ascii="David" w:hAnsi="David" w:cs="David" w:hint="cs"/>
          <w:b/>
          <w:bCs/>
          <w:sz w:val="24"/>
          <w:szCs w:val="24"/>
          <w:rtl/>
        </w:rPr>
        <w:t xml:space="preserve"> </w:t>
      </w:r>
      <w:r w:rsidRPr="000C784F">
        <w:rPr>
          <w:rFonts w:ascii="David" w:hAnsi="David" w:cs="David"/>
          <w:b/>
          <w:bCs/>
          <w:sz w:val="24"/>
          <w:szCs w:val="24"/>
          <w:rtl/>
        </w:rPr>
        <w:t>"הגורם בכוונה או באדישות למותו של אדם, דינו – מאסר עולם</w:t>
      </w:r>
      <w:r w:rsidRPr="000C784F">
        <w:rPr>
          <w:rFonts w:ascii="David" w:hAnsi="David" w:cs="David"/>
          <w:sz w:val="24"/>
          <w:szCs w:val="24"/>
          <w:rtl/>
        </w:rPr>
        <w:t xml:space="preserve">". </w:t>
      </w:r>
      <w:r>
        <w:rPr>
          <w:rFonts w:ascii="David" w:hAnsi="David" w:cs="David" w:hint="cs"/>
          <w:sz w:val="24"/>
          <w:szCs w:val="24"/>
          <w:rtl/>
        </w:rPr>
        <w:t xml:space="preserve">(מאסר עולם זה הוא </w:t>
      </w:r>
      <w:r w:rsidRPr="000C784F">
        <w:rPr>
          <w:rFonts w:ascii="David" w:hAnsi="David" w:cs="David" w:hint="cs"/>
          <w:sz w:val="24"/>
          <w:szCs w:val="24"/>
          <w:rtl/>
        </w:rPr>
        <w:t xml:space="preserve">עונש מקסימום ולא עונש חובה </w:t>
      </w:r>
      <w:r>
        <w:rPr>
          <w:rFonts w:ascii="David" w:hAnsi="David" w:cs="David" w:hint="cs"/>
          <w:sz w:val="24"/>
          <w:szCs w:val="24"/>
          <w:rtl/>
        </w:rPr>
        <w:t xml:space="preserve">- </w:t>
      </w:r>
      <w:r w:rsidRPr="000C784F">
        <w:rPr>
          <w:rFonts w:ascii="David" w:hAnsi="David" w:cs="David" w:hint="cs"/>
          <w:sz w:val="24"/>
          <w:szCs w:val="24"/>
          <w:rtl/>
        </w:rPr>
        <w:t>ר' בנדון ס'</w:t>
      </w:r>
      <w:r>
        <w:rPr>
          <w:rFonts w:ascii="David" w:hAnsi="David" w:cs="David" w:hint="cs"/>
          <w:sz w:val="24"/>
          <w:szCs w:val="24"/>
          <w:rtl/>
        </w:rPr>
        <w:t xml:space="preserve"> 311 א'</w:t>
      </w:r>
      <w:r w:rsidRPr="000C784F">
        <w:rPr>
          <w:rFonts w:ascii="David" w:hAnsi="David" w:cs="David" w:hint="cs"/>
          <w:sz w:val="24"/>
          <w:szCs w:val="24"/>
          <w:rtl/>
        </w:rPr>
        <w:t xml:space="preserve"> לחוק העונשין).</w:t>
      </w:r>
      <w:r w:rsidRPr="000C784F">
        <w:rPr>
          <w:rFonts w:ascii="David" w:hAnsi="David" w:cs="David"/>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Pr="001D1E28"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מאידך, המתה בקלות דעת מוגדרת בס</w:t>
      </w:r>
      <w:r w:rsidRPr="00D75804">
        <w:rPr>
          <w:rFonts w:ascii="David" w:hAnsi="David" w:cs="David" w:hint="cs"/>
          <w:sz w:val="24"/>
          <w:szCs w:val="24"/>
          <w:rtl/>
        </w:rPr>
        <w:t>' 301ג</w:t>
      </w:r>
      <w:r>
        <w:rPr>
          <w:rFonts w:ascii="David" w:hAnsi="David" w:cs="David" w:hint="cs"/>
          <w:sz w:val="24"/>
          <w:szCs w:val="24"/>
          <w:rtl/>
        </w:rPr>
        <w:t>'</w:t>
      </w:r>
      <w:r w:rsidRPr="00D75804">
        <w:rPr>
          <w:rFonts w:ascii="David" w:hAnsi="David" w:cs="David" w:hint="cs"/>
          <w:sz w:val="24"/>
          <w:szCs w:val="24"/>
          <w:rtl/>
        </w:rPr>
        <w:t xml:space="preserve"> שזה נוסחו:</w:t>
      </w:r>
      <w:r>
        <w:rPr>
          <w:rFonts w:ascii="David" w:hAnsi="David" w:cs="David" w:hint="cs"/>
          <w:sz w:val="24"/>
          <w:szCs w:val="24"/>
          <w:rtl/>
        </w:rPr>
        <w:t xml:space="preserve"> "</w:t>
      </w:r>
      <w:r w:rsidRPr="001D1E28">
        <w:rPr>
          <w:rFonts w:ascii="David" w:hAnsi="David" w:cs="David" w:hint="cs"/>
          <w:b/>
          <w:bCs/>
          <w:sz w:val="24"/>
          <w:szCs w:val="24"/>
          <w:rtl/>
        </w:rPr>
        <w:t xml:space="preserve">הגורם למותו של אדם בקלות דעת, דינו </w:t>
      </w:r>
      <w:r w:rsidRPr="001D1E28">
        <w:rPr>
          <w:rFonts w:ascii="David" w:hAnsi="David" w:cs="David"/>
          <w:b/>
          <w:bCs/>
          <w:sz w:val="24"/>
          <w:szCs w:val="24"/>
          <w:rtl/>
        </w:rPr>
        <w:t>–</w:t>
      </w:r>
      <w:r w:rsidRPr="001D1E28">
        <w:rPr>
          <w:rFonts w:ascii="David" w:hAnsi="David" w:cs="David" w:hint="cs"/>
          <w:b/>
          <w:bCs/>
          <w:sz w:val="24"/>
          <w:szCs w:val="24"/>
          <w:rtl/>
        </w:rPr>
        <w:t xml:space="preserve"> מאסר שתים עשרה שנים"</w:t>
      </w:r>
      <w:r w:rsidRPr="001D1E28">
        <w:rPr>
          <w:rFonts w:ascii="David" w:hAnsi="David" w:cs="David" w:hint="cs"/>
          <w:sz w:val="24"/>
          <w:szCs w:val="24"/>
          <w:rtl/>
        </w:rPr>
        <w:t>.</w:t>
      </w:r>
    </w:p>
    <w:p w:rsidR="00272CAC" w:rsidRPr="00A170FA" w:rsidRDefault="00272CAC" w:rsidP="00272CAC">
      <w:pPr>
        <w:pStyle w:val="P00"/>
        <w:spacing w:before="0"/>
        <w:ind w:left="0" w:right="1134"/>
        <w:rPr>
          <w:rFonts w:ascii="FrankRuehl" w:hAnsi="FrankRuehl" w:cs="FrankRuehl"/>
          <w:vanish/>
          <w:color w:val="FF0000"/>
          <w:szCs w:val="20"/>
          <w:shd w:val="clear" w:color="auto" w:fill="FFFF99"/>
          <w:rtl/>
        </w:rPr>
      </w:pPr>
      <w:bookmarkStart w:id="1" w:name="Rov1120"/>
      <w:r w:rsidRPr="00A170FA">
        <w:rPr>
          <w:rFonts w:ascii="FrankRuehl" w:hAnsi="FrankRuehl" w:cs="FrankRuehl"/>
          <w:vanish/>
          <w:color w:val="FF0000"/>
          <w:szCs w:val="20"/>
          <w:shd w:val="clear" w:color="auto" w:fill="FFFF99"/>
          <w:rtl/>
        </w:rPr>
        <w:t>מיום 10.7.2019</w:t>
      </w:r>
    </w:p>
    <w:p w:rsidR="00272CAC" w:rsidRPr="00A170FA" w:rsidRDefault="00272CAC" w:rsidP="00272CAC">
      <w:pPr>
        <w:pStyle w:val="P00"/>
        <w:spacing w:before="0"/>
        <w:ind w:left="0" w:right="1134"/>
        <w:rPr>
          <w:rFonts w:ascii="FrankRuehl" w:hAnsi="FrankRuehl" w:cs="FrankRuehl"/>
          <w:vanish/>
          <w:szCs w:val="20"/>
          <w:shd w:val="clear" w:color="auto" w:fill="FFFF99"/>
          <w:rtl/>
        </w:rPr>
      </w:pPr>
      <w:r w:rsidRPr="00A170FA">
        <w:rPr>
          <w:rFonts w:ascii="FrankRuehl" w:hAnsi="FrankRuehl" w:cs="FrankRuehl"/>
          <w:b/>
          <w:bCs/>
          <w:vanish/>
          <w:szCs w:val="20"/>
          <w:shd w:val="clear" w:color="auto" w:fill="FFFF99"/>
          <w:rtl/>
        </w:rPr>
        <w:t>תיקון מס' 137</w:t>
      </w:r>
    </w:p>
    <w:p w:rsidR="00272CAC" w:rsidRPr="00A170FA" w:rsidRDefault="00BB20EF" w:rsidP="00272CAC">
      <w:pPr>
        <w:pStyle w:val="P00"/>
        <w:spacing w:before="0"/>
        <w:ind w:left="0" w:right="1134"/>
        <w:rPr>
          <w:rFonts w:ascii="FrankRuehl" w:hAnsi="FrankRuehl" w:cs="FrankRuehl"/>
          <w:vanish/>
          <w:szCs w:val="20"/>
          <w:shd w:val="clear" w:color="auto" w:fill="FFFF99"/>
          <w:rtl/>
        </w:rPr>
      </w:pPr>
      <w:hyperlink r:id="rId10" w:history="1">
        <w:r w:rsidR="00272CAC" w:rsidRPr="00A170FA">
          <w:rPr>
            <w:rStyle w:val="Hyperlink"/>
            <w:rFonts w:ascii="FrankRuehl" w:hAnsi="FrankRuehl" w:cs="FrankRuehl"/>
            <w:vanish/>
            <w:szCs w:val="20"/>
            <w:shd w:val="clear" w:color="auto" w:fill="FFFF99"/>
            <w:rtl/>
          </w:rPr>
          <w:t>ס"ח תשע"ט מס' 2779</w:t>
        </w:r>
      </w:hyperlink>
      <w:r w:rsidR="00272CAC" w:rsidRPr="00A170FA">
        <w:rPr>
          <w:rFonts w:ascii="FrankRuehl" w:hAnsi="FrankRuehl" w:cs="FrankRuehl"/>
          <w:vanish/>
          <w:szCs w:val="20"/>
          <w:shd w:val="clear" w:color="auto" w:fill="FFFF99"/>
          <w:rtl/>
        </w:rPr>
        <w:t xml:space="preserve"> מיום 10.1.2019 עמ' 232 (</w:t>
      </w:r>
      <w:hyperlink r:id="rId11" w:history="1">
        <w:r w:rsidR="00272CAC" w:rsidRPr="00A170FA">
          <w:rPr>
            <w:rStyle w:val="Hyperlink"/>
            <w:rFonts w:ascii="FrankRuehl" w:hAnsi="FrankRuehl" w:cs="FrankRuehl"/>
            <w:vanish/>
            <w:szCs w:val="20"/>
            <w:shd w:val="clear" w:color="auto" w:fill="FFFF99"/>
            <w:rtl/>
          </w:rPr>
          <w:t>ה"ח 972</w:t>
        </w:r>
      </w:hyperlink>
      <w:r w:rsidR="00272CAC" w:rsidRPr="00A170FA">
        <w:rPr>
          <w:rFonts w:ascii="FrankRuehl" w:hAnsi="FrankRuehl" w:cs="FrankRuehl"/>
          <w:vanish/>
          <w:szCs w:val="20"/>
          <w:shd w:val="clear" w:color="auto" w:fill="FFFF99"/>
          <w:rtl/>
        </w:rPr>
        <w:t>)</w:t>
      </w:r>
    </w:p>
    <w:p w:rsidR="00272CAC" w:rsidRPr="00AC616B" w:rsidRDefault="00272CAC" w:rsidP="00272CAC">
      <w:pPr>
        <w:pStyle w:val="P00"/>
        <w:spacing w:before="0"/>
        <w:ind w:left="0" w:right="1134"/>
        <w:rPr>
          <w:rFonts w:ascii="FrankRuehl" w:hAnsi="FrankRuehl" w:cs="FrankRuehl"/>
          <w:sz w:val="2"/>
          <w:szCs w:val="2"/>
          <w:shd w:val="clear" w:color="auto" w:fill="FFFF99"/>
          <w:rtl/>
        </w:rPr>
      </w:pPr>
      <w:r w:rsidRPr="00A170FA">
        <w:rPr>
          <w:rFonts w:ascii="FrankRuehl" w:hAnsi="FrankRuehl" w:cs="FrankRuehl"/>
          <w:b/>
          <w:bCs/>
          <w:vanish/>
          <w:szCs w:val="20"/>
          <w:shd w:val="clear" w:color="auto" w:fill="FFFF99"/>
          <w:rtl/>
        </w:rPr>
        <w:t>הוספת סעיף 301ג</w:t>
      </w:r>
      <w:bookmarkEnd w:id="1"/>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יו</w:t>
      </w:r>
      <w:r w:rsidRPr="000C784F">
        <w:rPr>
          <w:rFonts w:ascii="David" w:hAnsi="David" w:cs="David" w:hint="cs"/>
          <w:sz w:val="24"/>
          <w:szCs w:val="24"/>
          <w:rtl/>
        </w:rPr>
        <w:t xml:space="preserve">צא, כי אותו מעשה </w:t>
      </w:r>
      <w:r>
        <w:rPr>
          <w:rFonts w:ascii="David" w:hAnsi="David" w:cs="David"/>
          <w:sz w:val="24"/>
          <w:szCs w:val="24"/>
          <w:rtl/>
        </w:rPr>
        <w:t>–</w:t>
      </w:r>
      <w:r>
        <w:rPr>
          <w:rFonts w:ascii="David" w:hAnsi="David" w:cs="David" w:hint="cs"/>
          <w:sz w:val="24"/>
          <w:szCs w:val="24"/>
          <w:rtl/>
        </w:rPr>
        <w:t xml:space="preserve"> "</w:t>
      </w:r>
      <w:r w:rsidRPr="001D1E28">
        <w:rPr>
          <w:rFonts w:ascii="David" w:hAnsi="David" w:cs="David" w:hint="cs"/>
          <w:b/>
          <w:bCs/>
          <w:sz w:val="24"/>
          <w:szCs w:val="24"/>
          <w:rtl/>
        </w:rPr>
        <w:t>הגורם למותו של אדם</w:t>
      </w:r>
      <w:r>
        <w:rPr>
          <w:rFonts w:ascii="David" w:hAnsi="David" w:cs="David" w:hint="cs"/>
          <w:sz w:val="24"/>
          <w:szCs w:val="24"/>
          <w:rtl/>
        </w:rPr>
        <w:t xml:space="preserve"> .." - </w:t>
      </w:r>
      <w:r w:rsidRPr="000C784F">
        <w:rPr>
          <w:rFonts w:ascii="David" w:hAnsi="David" w:cs="David" w:hint="cs"/>
          <w:sz w:val="24"/>
          <w:szCs w:val="24"/>
          <w:rtl/>
        </w:rPr>
        <w:t xml:space="preserve">יכול להוביל לשתי תוצאות, והדבר תלוי  ביסוד הנפשי </w:t>
      </w:r>
      <w:r w:rsidRPr="000C784F">
        <w:rPr>
          <w:rFonts w:ascii="David" w:hAnsi="David" w:cs="David"/>
          <w:sz w:val="24"/>
          <w:szCs w:val="24"/>
          <w:rtl/>
        </w:rPr>
        <w:t>–</w:t>
      </w:r>
      <w:r w:rsidRPr="000C784F">
        <w:rPr>
          <w:rFonts w:ascii="David" w:hAnsi="David" w:cs="David" w:hint="cs"/>
          <w:sz w:val="24"/>
          <w:szCs w:val="24"/>
          <w:rtl/>
        </w:rPr>
        <w:t xml:space="preserve"> אדישות (לשיטת המאשימה); או קלות דעת (אליבא להגנה).</w:t>
      </w:r>
    </w:p>
    <w:p w:rsidR="00272CAC" w:rsidRPr="00D75804"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numPr>
          <w:ilvl w:val="0"/>
          <w:numId w:val="14"/>
        </w:numPr>
        <w:spacing w:after="0" w:line="360" w:lineRule="auto"/>
        <w:jc w:val="both"/>
        <w:rPr>
          <w:rFonts w:ascii="David" w:hAnsi="David" w:cs="David"/>
          <w:sz w:val="24"/>
          <w:szCs w:val="24"/>
          <w:rtl/>
        </w:rPr>
      </w:pPr>
      <w:r w:rsidRPr="000C784F">
        <w:rPr>
          <w:rFonts w:ascii="David" w:hAnsi="David" w:cs="David"/>
          <w:sz w:val="24"/>
          <w:szCs w:val="24"/>
          <w:rtl/>
        </w:rPr>
        <w:t>סעיף 20 לחוק העונשין מגדיר את המחשבה הפלילית</w:t>
      </w:r>
      <w:r>
        <w:rPr>
          <w:rFonts w:ascii="David" w:hAnsi="David" w:cs="David" w:hint="cs"/>
          <w:sz w:val="24"/>
          <w:szCs w:val="24"/>
          <w:rtl/>
        </w:rPr>
        <w:t xml:space="preserve"> באופן הבא:</w:t>
      </w:r>
      <w:r w:rsidRPr="000C784F">
        <w:rPr>
          <w:rFonts w:ascii="David" w:hAnsi="David" w:cs="David"/>
          <w:sz w:val="24"/>
          <w:szCs w:val="24"/>
          <w:rtl/>
        </w:rPr>
        <w:t xml:space="preserve"> </w:t>
      </w:r>
      <w:r w:rsidRPr="000C784F">
        <w:rPr>
          <w:rFonts w:ascii="David" w:hAnsi="David" w:cs="David"/>
          <w:sz w:val="24"/>
          <w:szCs w:val="24"/>
          <w:rtl/>
        </w:rPr>
        <w:tab/>
      </w:r>
      <w:r w:rsidRPr="000C784F">
        <w:rPr>
          <w:rFonts w:ascii="David" w:hAnsi="David" w:cs="David"/>
          <w:sz w:val="24"/>
          <w:szCs w:val="24"/>
          <w:rtl/>
        </w:rPr>
        <w:tab/>
      </w:r>
    </w:p>
    <w:p w:rsidR="00272CAC" w:rsidRPr="000C784F" w:rsidRDefault="00272CAC" w:rsidP="00272CAC">
      <w:pPr>
        <w:pStyle w:val="ac"/>
        <w:spacing w:after="0" w:line="360" w:lineRule="auto"/>
        <w:ind w:left="360"/>
        <w:jc w:val="both"/>
        <w:rPr>
          <w:rFonts w:ascii="David" w:hAnsi="David" w:cs="David"/>
          <w:sz w:val="24"/>
          <w:szCs w:val="24"/>
          <w:rtl/>
        </w:rPr>
      </w:pPr>
    </w:p>
    <w:p w:rsidR="00272CAC" w:rsidRPr="00820933" w:rsidRDefault="00272CAC" w:rsidP="00272CAC">
      <w:pPr>
        <w:pStyle w:val="ac"/>
        <w:spacing w:after="0" w:line="360" w:lineRule="auto"/>
        <w:ind w:left="360"/>
        <w:jc w:val="both"/>
        <w:rPr>
          <w:rFonts w:ascii="David" w:hAnsi="David" w:cs="David"/>
          <w:b/>
          <w:bCs/>
          <w:sz w:val="24"/>
          <w:szCs w:val="24"/>
          <w:rtl/>
        </w:rPr>
      </w:pPr>
      <w:r w:rsidRPr="00820933">
        <w:rPr>
          <w:rFonts w:ascii="David" w:hAnsi="David" w:cs="David"/>
          <w:b/>
          <w:bCs/>
          <w:sz w:val="24"/>
          <w:szCs w:val="24"/>
          <w:rtl/>
        </w:rPr>
        <w:t xml:space="preserve">"20. (א) מחשבה פלילית – מודעות לטיב המעשה, לקיום הנסיבות ולאפשרות </w:t>
      </w:r>
    </w:p>
    <w:p w:rsidR="00272CAC" w:rsidRPr="00820933" w:rsidRDefault="00272CAC" w:rsidP="00272CAC">
      <w:pPr>
        <w:pStyle w:val="ac"/>
        <w:spacing w:after="0" w:line="360" w:lineRule="auto"/>
        <w:ind w:left="360"/>
        <w:jc w:val="both"/>
        <w:rPr>
          <w:rFonts w:ascii="David" w:hAnsi="David" w:cs="David"/>
          <w:b/>
          <w:bCs/>
          <w:sz w:val="24"/>
          <w:szCs w:val="24"/>
          <w:rtl/>
        </w:rPr>
      </w:pPr>
      <w:r w:rsidRPr="00820933">
        <w:rPr>
          <w:rFonts w:ascii="David" w:hAnsi="David" w:cs="David"/>
          <w:b/>
          <w:bCs/>
          <w:sz w:val="24"/>
          <w:szCs w:val="24"/>
          <w:rtl/>
        </w:rPr>
        <w:t>הגרימה לתוצאות המעשה, הנמנים עם פרטי העבירה, ולענין התוצאות גם אחת מאלה:</w:t>
      </w:r>
    </w:p>
    <w:p w:rsidR="00272CAC" w:rsidRPr="00820933" w:rsidRDefault="00272CAC" w:rsidP="00272CAC">
      <w:pPr>
        <w:pStyle w:val="ac"/>
        <w:spacing w:after="0" w:line="360" w:lineRule="auto"/>
        <w:ind w:left="360"/>
        <w:jc w:val="both"/>
        <w:rPr>
          <w:rFonts w:ascii="David" w:hAnsi="David" w:cs="David"/>
          <w:b/>
          <w:bCs/>
          <w:sz w:val="24"/>
          <w:szCs w:val="24"/>
          <w:rtl/>
        </w:rPr>
      </w:pPr>
      <w:r w:rsidRPr="00820933">
        <w:rPr>
          <w:rFonts w:ascii="David" w:hAnsi="David" w:cs="David"/>
          <w:b/>
          <w:bCs/>
          <w:sz w:val="24"/>
          <w:szCs w:val="24"/>
          <w:rtl/>
        </w:rPr>
        <w:t xml:space="preserve"> </w:t>
      </w:r>
      <w:r w:rsidRPr="00820933">
        <w:rPr>
          <w:rFonts w:ascii="David" w:hAnsi="David" w:cs="David"/>
          <w:b/>
          <w:bCs/>
          <w:sz w:val="24"/>
          <w:szCs w:val="24"/>
          <w:rtl/>
        </w:rPr>
        <w:tab/>
        <w:t>(1) כוונה – במטרה לגרום לאותן תוצאות;</w:t>
      </w:r>
      <w:r w:rsidRPr="00820933">
        <w:rPr>
          <w:rFonts w:ascii="David" w:hAnsi="David" w:cs="David"/>
          <w:b/>
          <w:bCs/>
          <w:sz w:val="24"/>
          <w:szCs w:val="24"/>
          <w:rtl/>
        </w:rPr>
        <w:tab/>
      </w:r>
    </w:p>
    <w:p w:rsidR="00272CAC" w:rsidRPr="00820933" w:rsidRDefault="00272CAC" w:rsidP="00272CAC">
      <w:pPr>
        <w:pStyle w:val="ac"/>
        <w:spacing w:after="0" w:line="360" w:lineRule="auto"/>
        <w:ind w:left="360" w:firstLine="360"/>
        <w:jc w:val="both"/>
        <w:rPr>
          <w:rFonts w:ascii="David" w:hAnsi="David" w:cs="David"/>
          <w:b/>
          <w:bCs/>
          <w:sz w:val="24"/>
          <w:szCs w:val="24"/>
          <w:rtl/>
        </w:rPr>
      </w:pPr>
      <w:r w:rsidRPr="00820933">
        <w:rPr>
          <w:rFonts w:ascii="David" w:hAnsi="David" w:cs="David"/>
          <w:b/>
          <w:bCs/>
          <w:sz w:val="24"/>
          <w:szCs w:val="24"/>
          <w:rtl/>
        </w:rPr>
        <w:t>(2) פזיזות שבאחת מאלה:</w:t>
      </w:r>
    </w:p>
    <w:p w:rsidR="00272CAC" w:rsidRPr="00820933" w:rsidRDefault="00272CAC" w:rsidP="00272CAC">
      <w:pPr>
        <w:spacing w:line="360" w:lineRule="auto"/>
        <w:ind w:left="360" w:firstLine="720"/>
        <w:jc w:val="both"/>
        <w:rPr>
          <w:rFonts w:ascii="David" w:hAnsi="David"/>
          <w:b/>
          <w:bCs/>
          <w:rtl/>
        </w:rPr>
      </w:pPr>
      <w:r w:rsidRPr="00820933">
        <w:rPr>
          <w:rFonts w:ascii="David" w:hAnsi="David"/>
          <w:b/>
          <w:bCs/>
          <w:rtl/>
        </w:rPr>
        <w:t xml:space="preserve">(א) </w:t>
      </w:r>
      <w:r w:rsidRPr="007E3363">
        <w:rPr>
          <w:rFonts w:ascii="David" w:hAnsi="David"/>
          <w:b/>
          <w:bCs/>
          <w:u w:val="single"/>
          <w:rtl/>
        </w:rPr>
        <w:t>אדישות</w:t>
      </w:r>
      <w:r w:rsidRPr="00820933">
        <w:rPr>
          <w:rFonts w:ascii="David" w:hAnsi="David"/>
          <w:b/>
          <w:bCs/>
          <w:rtl/>
        </w:rPr>
        <w:t xml:space="preserve"> – בשוויון נפש לאפשרות גרימת התוצאות האמורות;  </w:t>
      </w:r>
    </w:p>
    <w:p w:rsidR="00272CAC" w:rsidRDefault="00272CAC" w:rsidP="00272CAC">
      <w:pPr>
        <w:pStyle w:val="ac"/>
        <w:spacing w:after="0" w:line="360" w:lineRule="auto"/>
        <w:ind w:left="1080"/>
        <w:jc w:val="both"/>
        <w:rPr>
          <w:rFonts w:ascii="David" w:hAnsi="David" w:cs="David"/>
          <w:b/>
          <w:bCs/>
          <w:sz w:val="24"/>
          <w:szCs w:val="24"/>
          <w:rtl/>
        </w:rPr>
      </w:pPr>
      <w:r w:rsidRPr="00820933">
        <w:rPr>
          <w:rFonts w:ascii="David" w:hAnsi="David" w:cs="David"/>
          <w:b/>
          <w:bCs/>
          <w:sz w:val="24"/>
          <w:szCs w:val="24"/>
          <w:rtl/>
        </w:rPr>
        <w:t xml:space="preserve">(ב) </w:t>
      </w:r>
      <w:r w:rsidRPr="007E3363">
        <w:rPr>
          <w:rFonts w:ascii="David" w:hAnsi="David" w:cs="David"/>
          <w:b/>
          <w:bCs/>
          <w:sz w:val="24"/>
          <w:szCs w:val="24"/>
          <w:u w:val="single"/>
          <w:rtl/>
        </w:rPr>
        <w:t>קלות דעת</w:t>
      </w:r>
      <w:r w:rsidRPr="00820933">
        <w:rPr>
          <w:rFonts w:ascii="David" w:hAnsi="David" w:cs="David"/>
          <w:b/>
          <w:bCs/>
          <w:sz w:val="24"/>
          <w:szCs w:val="24"/>
          <w:rtl/>
        </w:rPr>
        <w:t xml:space="preserve"> – בנטילת סיכון בלתי סביר לאפשרות גרימת התוצאות האמורות, מתוך </w:t>
      </w:r>
      <w:r>
        <w:rPr>
          <w:rFonts w:ascii="David" w:hAnsi="David" w:cs="David" w:hint="cs"/>
          <w:b/>
          <w:bCs/>
          <w:sz w:val="24"/>
          <w:szCs w:val="24"/>
          <w:rtl/>
        </w:rPr>
        <w:t xml:space="preserve"> </w:t>
      </w:r>
    </w:p>
    <w:p w:rsidR="00272CAC" w:rsidRPr="0046706B" w:rsidRDefault="00272CAC" w:rsidP="00272CAC">
      <w:pPr>
        <w:pStyle w:val="ac"/>
        <w:spacing w:after="0" w:line="360" w:lineRule="auto"/>
        <w:ind w:left="1080"/>
        <w:jc w:val="both"/>
        <w:rPr>
          <w:rFonts w:ascii="David" w:hAnsi="David" w:cs="David"/>
          <w:sz w:val="24"/>
          <w:szCs w:val="24"/>
          <w:rtl/>
        </w:rPr>
      </w:pPr>
      <w:r>
        <w:rPr>
          <w:rFonts w:ascii="David" w:hAnsi="David" w:cs="David" w:hint="cs"/>
          <w:b/>
          <w:bCs/>
          <w:sz w:val="24"/>
          <w:szCs w:val="24"/>
          <w:rtl/>
        </w:rPr>
        <w:t xml:space="preserve">     </w:t>
      </w:r>
      <w:r w:rsidRPr="00820933">
        <w:rPr>
          <w:rFonts w:ascii="David" w:hAnsi="David" w:cs="David"/>
          <w:b/>
          <w:bCs/>
          <w:sz w:val="24"/>
          <w:szCs w:val="24"/>
          <w:rtl/>
        </w:rPr>
        <w:t xml:space="preserve">תקווה להצליח למנען. </w:t>
      </w:r>
    </w:p>
    <w:p w:rsidR="00272CAC" w:rsidRPr="0046706B"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מאחר וקבענו לעיל (ר' הפסקה לעיל) כי הנאשם היה מודע לטיב המעשה, לקיום הנסיבות ולאפשרות הגרימה לתוצאות המעשה, ה</w:t>
      </w:r>
      <w:r w:rsidRPr="000C784F">
        <w:rPr>
          <w:rFonts w:ascii="David" w:hAnsi="David" w:cs="David" w:hint="cs"/>
          <w:sz w:val="24"/>
          <w:szCs w:val="24"/>
          <w:rtl/>
        </w:rPr>
        <w:t>שאלה</w:t>
      </w:r>
      <w:r>
        <w:rPr>
          <w:rFonts w:ascii="David" w:hAnsi="David" w:cs="David" w:hint="cs"/>
          <w:sz w:val="24"/>
          <w:szCs w:val="24"/>
          <w:rtl/>
        </w:rPr>
        <w:t xml:space="preserve"> שנותרה אם כן נ</w:t>
      </w:r>
      <w:r w:rsidRPr="000C784F">
        <w:rPr>
          <w:rFonts w:ascii="David" w:hAnsi="David" w:cs="David" w:hint="cs"/>
          <w:sz w:val="24"/>
          <w:szCs w:val="24"/>
          <w:rtl/>
        </w:rPr>
        <w:t>וגעת "רק" ליסוד הנפשי שהתקיים בנאשם "</w:t>
      </w:r>
      <w:r w:rsidRPr="0046037E">
        <w:rPr>
          <w:rFonts w:ascii="David" w:hAnsi="David" w:cs="David" w:hint="cs"/>
          <w:sz w:val="24"/>
          <w:szCs w:val="24"/>
          <w:u w:val="single"/>
          <w:rtl/>
        </w:rPr>
        <w:t>לעניין התוצאות</w:t>
      </w:r>
      <w:r w:rsidRPr="000C784F">
        <w:rPr>
          <w:rFonts w:ascii="David" w:hAnsi="David" w:cs="David" w:hint="cs"/>
          <w:sz w:val="24"/>
          <w:szCs w:val="24"/>
          <w:rtl/>
        </w:rPr>
        <w:t xml:space="preserve">" </w:t>
      </w:r>
      <w:r w:rsidRPr="000C784F">
        <w:rPr>
          <w:rFonts w:ascii="David" w:hAnsi="David" w:cs="David"/>
          <w:sz w:val="24"/>
          <w:szCs w:val="24"/>
          <w:rtl/>
        </w:rPr>
        <w:t>–</w:t>
      </w:r>
      <w:r w:rsidRPr="000C784F">
        <w:rPr>
          <w:rFonts w:ascii="David" w:hAnsi="David" w:cs="David" w:hint="cs"/>
          <w:sz w:val="24"/>
          <w:szCs w:val="24"/>
          <w:rtl/>
        </w:rPr>
        <w:t xml:space="preserve"> </w:t>
      </w:r>
      <w:r>
        <w:rPr>
          <w:rFonts w:ascii="David" w:hAnsi="David" w:cs="David" w:hint="cs"/>
          <w:sz w:val="24"/>
          <w:szCs w:val="24"/>
          <w:rtl/>
        </w:rPr>
        <w:t>"</w:t>
      </w:r>
      <w:r w:rsidRPr="000C784F">
        <w:rPr>
          <w:rFonts w:ascii="David" w:hAnsi="David" w:cs="David" w:hint="cs"/>
          <w:sz w:val="24"/>
          <w:szCs w:val="24"/>
          <w:rtl/>
        </w:rPr>
        <w:t>קלות דעת</w:t>
      </w:r>
      <w:r>
        <w:rPr>
          <w:rFonts w:ascii="David" w:hAnsi="David" w:cs="David" w:hint="cs"/>
          <w:sz w:val="24"/>
          <w:szCs w:val="24"/>
          <w:rtl/>
        </w:rPr>
        <w:t>"</w:t>
      </w:r>
      <w:r w:rsidRPr="000C784F">
        <w:rPr>
          <w:rFonts w:ascii="David" w:hAnsi="David" w:cs="David" w:hint="cs"/>
          <w:sz w:val="24"/>
          <w:szCs w:val="24"/>
          <w:rtl/>
        </w:rPr>
        <w:t xml:space="preserve"> או </w:t>
      </w:r>
      <w:r w:rsidRPr="000C784F">
        <w:rPr>
          <w:rFonts w:ascii="David" w:hAnsi="David" w:cs="David"/>
          <w:sz w:val="24"/>
          <w:szCs w:val="24"/>
          <w:rtl/>
        </w:rPr>
        <w:t>"אדישות"</w:t>
      </w:r>
      <w:r w:rsidRPr="000C784F">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Pr="000C784F" w:rsidRDefault="00272CAC" w:rsidP="00272CAC">
      <w:pPr>
        <w:pStyle w:val="ac"/>
        <w:numPr>
          <w:ilvl w:val="0"/>
          <w:numId w:val="14"/>
        </w:numPr>
        <w:spacing w:after="0" w:line="360" w:lineRule="auto"/>
        <w:jc w:val="both"/>
        <w:rPr>
          <w:rFonts w:ascii="David" w:hAnsi="David" w:cs="David"/>
          <w:sz w:val="24"/>
          <w:szCs w:val="24"/>
        </w:rPr>
      </w:pPr>
      <w:r w:rsidRPr="000C784F">
        <w:rPr>
          <w:rFonts w:ascii="David" w:hAnsi="David" w:cs="David" w:hint="cs"/>
          <w:sz w:val="24"/>
          <w:szCs w:val="24"/>
          <w:rtl/>
        </w:rPr>
        <w:t>מושגים אלה</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קלות דעת ואדישות - </w:t>
      </w:r>
      <w:r w:rsidRPr="000C784F">
        <w:rPr>
          <w:rFonts w:ascii="David" w:hAnsi="David" w:cs="David"/>
          <w:sz w:val="24"/>
          <w:szCs w:val="24"/>
          <w:rtl/>
        </w:rPr>
        <w:t xml:space="preserve">אמורים לכאורה להיות </w:t>
      </w:r>
      <w:r w:rsidRPr="000C784F">
        <w:rPr>
          <w:rFonts w:ascii="David" w:hAnsi="David" w:cs="David" w:hint="cs"/>
          <w:sz w:val="24"/>
          <w:szCs w:val="24"/>
          <w:rtl/>
        </w:rPr>
        <w:t xml:space="preserve">ברורים </w:t>
      </w:r>
      <w:r w:rsidRPr="000C784F">
        <w:rPr>
          <w:rFonts w:ascii="David" w:hAnsi="David" w:cs="David"/>
          <w:sz w:val="24"/>
          <w:szCs w:val="24"/>
          <w:rtl/>
        </w:rPr>
        <w:t>ולו משום שהוגדרו זה מכבר בס' 20 לחוק העונשין</w:t>
      </w:r>
      <w:r w:rsidRPr="000C784F">
        <w:rPr>
          <w:rFonts w:ascii="David" w:hAnsi="David" w:cs="David" w:hint="cs"/>
          <w:sz w:val="24"/>
          <w:szCs w:val="24"/>
          <w:rtl/>
        </w:rPr>
        <w:t xml:space="preserve">, במסגרת תיקון 39 משנת </w:t>
      </w:r>
      <w:r>
        <w:rPr>
          <w:rFonts w:ascii="David" w:hAnsi="David" w:cs="David" w:hint="cs"/>
          <w:sz w:val="24"/>
          <w:szCs w:val="24"/>
          <w:rtl/>
        </w:rPr>
        <w:t>1994</w:t>
      </w:r>
      <w:r w:rsidRPr="000C784F">
        <w:rPr>
          <w:rFonts w:ascii="David" w:hAnsi="David" w:cs="David" w:hint="cs"/>
          <w:sz w:val="24"/>
          <w:szCs w:val="24"/>
          <w:rtl/>
        </w:rPr>
        <w:t xml:space="preserve">. </w:t>
      </w:r>
      <w:r w:rsidRPr="000C784F">
        <w:rPr>
          <w:rFonts w:ascii="David" w:hAnsi="David" w:cs="David"/>
          <w:sz w:val="24"/>
          <w:szCs w:val="24"/>
          <w:rtl/>
        </w:rPr>
        <w:t xml:space="preserve">עם זאת, עד הרפורמה בדיני ההמתה לא נדרשו על פי רוב בתי המשפט להיכנס לעובי הקורה בהקשר זה, שכן עבירת ההריגה כללה </w:t>
      </w:r>
      <w:r w:rsidRPr="000C784F">
        <w:rPr>
          <w:rFonts w:ascii="David" w:hAnsi="David" w:cs="David" w:hint="cs"/>
          <w:sz w:val="24"/>
          <w:szCs w:val="24"/>
          <w:rtl/>
        </w:rPr>
        <w:t xml:space="preserve">בחובה </w:t>
      </w:r>
      <w:r w:rsidRPr="000C784F">
        <w:rPr>
          <w:rFonts w:ascii="David" w:hAnsi="David" w:cs="David"/>
          <w:sz w:val="24"/>
          <w:szCs w:val="24"/>
          <w:rtl/>
        </w:rPr>
        <w:t xml:space="preserve">גם מקרים בהם הנאשם היה </w:t>
      </w:r>
      <w:r w:rsidRPr="000C784F">
        <w:rPr>
          <w:rFonts w:ascii="David" w:hAnsi="David" w:cs="David"/>
          <w:sz w:val="24"/>
          <w:szCs w:val="24"/>
          <w:u w:val="single"/>
          <w:rtl/>
        </w:rPr>
        <w:t>אדיש</w:t>
      </w:r>
      <w:r w:rsidRPr="000C784F">
        <w:rPr>
          <w:rFonts w:ascii="David" w:hAnsi="David" w:cs="David"/>
          <w:sz w:val="24"/>
          <w:szCs w:val="24"/>
          <w:rtl/>
        </w:rPr>
        <w:t xml:space="preserve"> לתוצאות מעשיו, וגם מקרים בהם נטל במודע סיכון שהתנהגותו עלולה להביא למות הקורבן אף שקיווה באופן המעוגן במציאות שהסיכון לא יתממש, קרי היה </w:t>
      </w:r>
      <w:r w:rsidRPr="000C784F">
        <w:rPr>
          <w:rFonts w:ascii="David" w:hAnsi="David" w:cs="David"/>
          <w:sz w:val="24"/>
          <w:szCs w:val="24"/>
          <w:u w:val="single"/>
          <w:rtl/>
        </w:rPr>
        <w:t>קל דעת</w:t>
      </w:r>
      <w:r w:rsidRPr="000C784F">
        <w:rPr>
          <w:rFonts w:ascii="David" w:hAnsi="David" w:cs="David"/>
          <w:sz w:val="24"/>
          <w:szCs w:val="24"/>
          <w:rtl/>
        </w:rPr>
        <w:t xml:space="preserve">. </w:t>
      </w:r>
    </w:p>
    <w:p w:rsidR="00272CAC" w:rsidRPr="000C784F" w:rsidRDefault="00272CAC" w:rsidP="00272CAC">
      <w:pPr>
        <w:pStyle w:val="ac"/>
        <w:rPr>
          <w:rFonts w:ascii="David" w:hAnsi="David" w:cs="David"/>
          <w:sz w:val="24"/>
          <w:szCs w:val="24"/>
          <w:rtl/>
        </w:rPr>
      </w:pPr>
    </w:p>
    <w:p w:rsidR="00272CAC" w:rsidRPr="00EC12E3" w:rsidRDefault="00272CAC" w:rsidP="00272CAC">
      <w:pPr>
        <w:pStyle w:val="ac"/>
        <w:spacing w:after="0" w:line="360" w:lineRule="auto"/>
        <w:ind w:left="360"/>
        <w:jc w:val="both"/>
        <w:rPr>
          <w:rFonts w:ascii="David" w:hAnsi="David" w:cs="David"/>
          <w:sz w:val="24"/>
          <w:szCs w:val="24"/>
        </w:rPr>
      </w:pPr>
      <w:r>
        <w:rPr>
          <w:rFonts w:ascii="David" w:hAnsi="David" w:cs="David" w:hint="cs"/>
          <w:sz w:val="24"/>
          <w:szCs w:val="24"/>
          <w:rtl/>
        </w:rPr>
        <w:t xml:space="preserve">לא זו אף זו, הפסיקה לא נכנסה לעובי הקורה </w:t>
      </w:r>
      <w:r>
        <w:rPr>
          <w:rFonts w:ascii="David" w:hAnsi="David" w:cs="David"/>
          <w:sz w:val="24"/>
          <w:szCs w:val="24"/>
          <w:rtl/>
        </w:rPr>
        <w:t>–</w:t>
      </w:r>
      <w:r>
        <w:rPr>
          <w:rFonts w:ascii="David" w:hAnsi="David" w:cs="David" w:hint="cs"/>
          <w:sz w:val="24"/>
          <w:szCs w:val="24"/>
          <w:rtl/>
        </w:rPr>
        <w:t xml:space="preserve"> בהקשר להבחנה בין אדישות לקלות דעת - </w:t>
      </w:r>
      <w:r w:rsidRPr="00EC12E3">
        <w:rPr>
          <w:rFonts w:ascii="David" w:hAnsi="David" w:cs="David"/>
          <w:sz w:val="24"/>
          <w:szCs w:val="24"/>
          <w:rtl/>
        </w:rPr>
        <w:t>גם בהקשר לעבירות תוצאתיות אחרות</w:t>
      </w:r>
      <w:r>
        <w:rPr>
          <w:rFonts w:ascii="David" w:hAnsi="David" w:cs="David" w:hint="cs"/>
          <w:sz w:val="24"/>
          <w:szCs w:val="24"/>
          <w:rtl/>
        </w:rPr>
        <w:t xml:space="preserve">. עבירות אלה </w:t>
      </w:r>
      <w:r w:rsidRPr="00EC12E3">
        <w:rPr>
          <w:rFonts w:ascii="David" w:hAnsi="David" w:cs="David"/>
          <w:sz w:val="24"/>
          <w:szCs w:val="24"/>
          <w:rtl/>
        </w:rPr>
        <w:t>דורשות</w:t>
      </w:r>
      <w:r>
        <w:rPr>
          <w:rFonts w:ascii="David" w:hAnsi="David" w:cs="David" w:hint="cs"/>
          <w:sz w:val="24"/>
          <w:szCs w:val="24"/>
          <w:rtl/>
        </w:rPr>
        <w:t>, ביחס לתוצאה,</w:t>
      </w:r>
      <w:r w:rsidRPr="00EC12E3">
        <w:rPr>
          <w:rFonts w:ascii="David" w:hAnsi="David" w:cs="David"/>
          <w:sz w:val="24"/>
          <w:szCs w:val="24"/>
          <w:rtl/>
        </w:rPr>
        <w:t xml:space="preserve"> כוונה </w:t>
      </w:r>
      <w:r w:rsidRPr="00EC12E3">
        <w:rPr>
          <w:rFonts w:ascii="David" w:hAnsi="David" w:cs="David"/>
          <w:sz w:val="24"/>
          <w:szCs w:val="24"/>
          <w:u w:val="single"/>
          <w:rtl/>
        </w:rPr>
        <w:t>או</w:t>
      </w:r>
      <w:r w:rsidRPr="00EC12E3">
        <w:rPr>
          <w:rFonts w:ascii="David" w:hAnsi="David" w:cs="David"/>
          <w:sz w:val="24"/>
          <w:szCs w:val="24"/>
          <w:rtl/>
        </w:rPr>
        <w:t xml:space="preserve"> פזיזות; </w:t>
      </w:r>
      <w:r w:rsidRPr="00EC12E3">
        <w:rPr>
          <w:rFonts w:ascii="David" w:hAnsi="David" w:cs="David"/>
          <w:sz w:val="24"/>
          <w:szCs w:val="24"/>
          <w:rtl/>
        </w:rPr>
        <w:lastRenderedPageBreak/>
        <w:t>והאחרונה כאמור כוללת אדישות או קלות דעת מבלי להבחין לרוב ביניהן (ור' בנדון האמור במאמרה של פרופ' מרים גור-אריה "</w:t>
      </w:r>
      <w:r w:rsidRPr="00EC12E3">
        <w:rPr>
          <w:rFonts w:ascii="Miriam" w:hAnsi="Miriam" w:cs="Miriam"/>
          <w:sz w:val="24"/>
          <w:szCs w:val="24"/>
          <w:rtl/>
        </w:rPr>
        <w:t>הרפורמה בעבירות המתה: על מדרג עבירות ההמתה ועל רצח מתוך אדישות</w:t>
      </w:r>
      <w:r w:rsidRPr="00EC12E3">
        <w:rPr>
          <w:rFonts w:ascii="David" w:hAnsi="David" w:cs="David"/>
          <w:sz w:val="24"/>
          <w:szCs w:val="24"/>
          <w:rtl/>
        </w:rPr>
        <w:t xml:space="preserve">" פורסם בספר יעקב וינרוט, 2021, עמ' 447, בעמ' 459; להלן: מאמרה של גור-אריה על הרפורמה בעבירות המתה). </w:t>
      </w:r>
    </w:p>
    <w:p w:rsidR="00272CAC" w:rsidRDefault="00272CAC" w:rsidP="00272CAC">
      <w:pPr>
        <w:pStyle w:val="ac"/>
        <w:rPr>
          <w:rFonts w:ascii="David" w:hAnsi="David" w:cs="David"/>
          <w:sz w:val="24"/>
          <w:szCs w:val="24"/>
          <w:rtl/>
        </w:rPr>
      </w:pPr>
    </w:p>
    <w:p w:rsidR="00272CAC" w:rsidRPr="00820933" w:rsidRDefault="00272CAC" w:rsidP="00272CAC">
      <w:pPr>
        <w:pStyle w:val="ac"/>
        <w:numPr>
          <w:ilvl w:val="0"/>
          <w:numId w:val="14"/>
        </w:numPr>
        <w:spacing w:after="0" w:line="360" w:lineRule="auto"/>
        <w:jc w:val="both"/>
        <w:rPr>
          <w:rFonts w:ascii="David" w:hAnsi="David" w:cs="David"/>
          <w:b/>
          <w:bCs/>
          <w:sz w:val="24"/>
          <w:szCs w:val="24"/>
        </w:rPr>
      </w:pPr>
      <w:r w:rsidRPr="00820933">
        <w:rPr>
          <w:rFonts w:ascii="David" w:hAnsi="David" w:cs="David"/>
          <w:b/>
          <w:bCs/>
          <w:sz w:val="24"/>
          <w:szCs w:val="24"/>
          <w:rtl/>
        </w:rPr>
        <w:t xml:space="preserve">מהי אם כן קלות דעת, ומהי </w:t>
      </w:r>
      <w:r w:rsidRPr="00820933">
        <w:rPr>
          <w:rFonts w:ascii="David" w:hAnsi="David" w:cs="David" w:hint="cs"/>
          <w:b/>
          <w:bCs/>
          <w:sz w:val="24"/>
          <w:szCs w:val="24"/>
          <w:rtl/>
        </w:rPr>
        <w:t>ה</w:t>
      </w:r>
      <w:r w:rsidRPr="00820933">
        <w:rPr>
          <w:rFonts w:ascii="David" w:hAnsi="David" w:cs="David"/>
          <w:b/>
          <w:bCs/>
          <w:sz w:val="24"/>
          <w:szCs w:val="24"/>
          <w:rtl/>
        </w:rPr>
        <w:t xml:space="preserve">אדישות.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בתפ"ח (מחוזי חיפה) 12421-08-20 </w:t>
      </w:r>
      <w:r w:rsidRPr="0082709C">
        <w:rPr>
          <w:rFonts w:ascii="Miriam" w:hAnsi="Miriam" w:cs="Miriam"/>
          <w:sz w:val="24"/>
          <w:szCs w:val="24"/>
          <w:rtl/>
        </w:rPr>
        <w:t>מדינת ישראל נ' ברכאת</w:t>
      </w:r>
      <w:r>
        <w:rPr>
          <w:rFonts w:ascii="David" w:hAnsi="David" w:cs="David" w:hint="cs"/>
          <w:sz w:val="24"/>
          <w:szCs w:val="24"/>
          <w:rtl/>
        </w:rPr>
        <w:t xml:space="preserve"> (25.12.22) התייחסתי לכך, והאמור להלן מתבסס על הדברים שכתבתי שם. </w:t>
      </w:r>
    </w:p>
    <w:p w:rsidR="00272CAC" w:rsidRDefault="00272CAC" w:rsidP="00272CAC">
      <w:pPr>
        <w:spacing w:line="360" w:lineRule="auto"/>
        <w:ind w:left="360"/>
        <w:jc w:val="both"/>
        <w:rPr>
          <w:rFonts w:ascii="David" w:hAnsi="David"/>
          <w:rtl/>
        </w:rPr>
      </w:pPr>
    </w:p>
    <w:p w:rsidR="00272CAC" w:rsidRPr="0025728F" w:rsidRDefault="00272CAC" w:rsidP="00272CAC">
      <w:pPr>
        <w:spacing w:line="360" w:lineRule="auto"/>
        <w:ind w:left="360"/>
        <w:jc w:val="both"/>
        <w:rPr>
          <w:rFonts w:ascii="David" w:hAnsi="David"/>
        </w:rPr>
      </w:pPr>
      <w:r w:rsidRPr="0025728F">
        <w:rPr>
          <w:rFonts w:ascii="David" w:hAnsi="David"/>
          <w:rtl/>
        </w:rPr>
        <w:t xml:space="preserve">מבחינה עיונית האדישות "קרובה" לכוונה, בעוד </w:t>
      </w:r>
      <w:r w:rsidRPr="0025728F">
        <w:rPr>
          <w:rFonts w:ascii="David" w:hAnsi="David" w:hint="cs"/>
          <w:rtl/>
        </w:rPr>
        <w:t>"</w:t>
      </w:r>
      <w:r w:rsidRPr="0025728F">
        <w:rPr>
          <w:rFonts w:ascii="David" w:hAnsi="David"/>
          <w:rtl/>
        </w:rPr>
        <w:t>הרחק משמאל</w:t>
      </w:r>
      <w:r w:rsidRPr="0025728F">
        <w:rPr>
          <w:rFonts w:ascii="David" w:hAnsi="David" w:hint="cs"/>
          <w:rtl/>
        </w:rPr>
        <w:t>"</w:t>
      </w:r>
      <w:r w:rsidRPr="0025728F">
        <w:rPr>
          <w:rFonts w:ascii="David" w:hAnsi="David"/>
          <w:rtl/>
        </w:rPr>
        <w:t xml:space="preserve"> - על המנעד בו ניצבות  קלות הדעת, האדישות והכוונה – מצויה קלות הדעת (ר' בנדון ספרם פרופ' קרמניצר ופרופ' גנאים </w:t>
      </w:r>
      <w:r w:rsidRPr="0025728F">
        <w:rPr>
          <w:rFonts w:ascii="Miriam" w:hAnsi="Miriam" w:cs="Miriam"/>
          <w:rtl/>
        </w:rPr>
        <w:t>הרפורמה בעבירות המתה</w:t>
      </w:r>
      <w:r w:rsidRPr="0025728F">
        <w:rPr>
          <w:rFonts w:ascii="David" w:hAnsi="David"/>
          <w:rtl/>
        </w:rPr>
        <w:t xml:space="preserve">, בעמ' 265). לכן, על פני הדברים, ההבחנה בין קלות דעת לאדישות היתה צריכה להיות </w:t>
      </w:r>
      <w:r w:rsidRPr="0025728F">
        <w:rPr>
          <w:rFonts w:ascii="David" w:hAnsi="David" w:hint="cs"/>
          <w:rtl/>
        </w:rPr>
        <w:t>ברורה</w:t>
      </w:r>
      <w:r w:rsidRPr="0025728F">
        <w:rPr>
          <w:rFonts w:ascii="David" w:hAnsi="David"/>
          <w:rtl/>
        </w:rPr>
        <w:t xml:space="preserve">. עם זאת, המציאות מלמדת כי יישום הדברים בפועל אינו תמיד קל (ור' בנדון ע"פ  7229/20 </w:t>
      </w:r>
      <w:hyperlink r:id="rId12" w:history="1">
        <w:r w:rsidRPr="0025728F">
          <w:rPr>
            <w:rStyle w:val="Hyperlink"/>
            <w:rFonts w:ascii="Miriam" w:hAnsi="Miriam" w:cs="Miriam"/>
            <w:color w:val="auto"/>
            <w:u w:val="none"/>
            <w:rtl/>
          </w:rPr>
          <w:t>מירזייב נ' מדינת ישרא</w:t>
        </w:r>
      </w:hyperlink>
      <w:r w:rsidRPr="0025728F">
        <w:rPr>
          <w:rFonts w:ascii="Miriam" w:hAnsi="Miriam" w:cs="Miriam"/>
          <w:rtl/>
        </w:rPr>
        <w:t>ל</w:t>
      </w:r>
      <w:r w:rsidRPr="0025728F">
        <w:rPr>
          <w:rFonts w:ascii="David" w:hAnsi="David"/>
          <w:rtl/>
        </w:rPr>
        <w:t xml:space="preserve">, פסקה 35 (20.12.21), להלן: </w:t>
      </w:r>
      <w:r w:rsidRPr="0025728F">
        <w:rPr>
          <w:rFonts w:ascii="Miriam" w:hAnsi="Miriam" w:cs="Miriam"/>
          <w:rtl/>
        </w:rPr>
        <w:t>עניין מירזייב</w:t>
      </w:r>
      <w:r w:rsidRPr="0025728F">
        <w:rPr>
          <w:rFonts w:ascii="David" w:hAnsi="David"/>
          <w:rtl/>
        </w:rPr>
        <w:t>).</w:t>
      </w:r>
    </w:p>
    <w:p w:rsidR="00272CAC" w:rsidRDefault="00272CAC" w:rsidP="00272CAC">
      <w:pPr>
        <w:pStyle w:val="ac"/>
        <w:spacing w:after="0" w:line="360" w:lineRule="auto"/>
        <w:jc w:val="both"/>
        <w:rPr>
          <w:rFonts w:ascii="David" w:hAnsi="David" w:cs="David"/>
          <w:sz w:val="24"/>
          <w:szCs w:val="24"/>
          <w:rtl/>
        </w:rPr>
      </w:pPr>
    </w:p>
    <w:p w:rsidR="00272CAC" w:rsidRDefault="00272CAC" w:rsidP="00272CAC">
      <w:pPr>
        <w:spacing w:line="360" w:lineRule="auto"/>
        <w:ind w:firstLine="360"/>
        <w:jc w:val="both"/>
        <w:rPr>
          <w:rFonts w:ascii="David" w:hAnsi="David"/>
          <w:b/>
          <w:bCs/>
          <w:rtl/>
        </w:rPr>
      </w:pPr>
      <w:r w:rsidRPr="000C784F">
        <w:rPr>
          <w:rFonts w:ascii="David" w:hAnsi="David"/>
          <w:rtl/>
        </w:rPr>
        <w:t xml:space="preserve">בעניין מירזייב </w:t>
      </w:r>
      <w:r>
        <w:rPr>
          <w:rFonts w:ascii="David" w:hAnsi="David" w:hint="cs"/>
          <w:rtl/>
        </w:rPr>
        <w:t xml:space="preserve">נקבע בהקשר זה </w:t>
      </w:r>
      <w:r w:rsidRPr="000C784F">
        <w:rPr>
          <w:rFonts w:ascii="David" w:hAnsi="David"/>
          <w:rtl/>
        </w:rPr>
        <w:t>כך:</w:t>
      </w:r>
    </w:p>
    <w:p w:rsidR="00272CAC" w:rsidRDefault="00272CAC" w:rsidP="00272CAC">
      <w:pPr>
        <w:spacing w:line="360" w:lineRule="auto"/>
        <w:ind w:firstLine="360"/>
        <w:jc w:val="both"/>
        <w:rPr>
          <w:rFonts w:ascii="David" w:hAnsi="David"/>
          <w:b/>
          <w:bCs/>
          <w:rtl/>
        </w:rPr>
      </w:pPr>
    </w:p>
    <w:p w:rsidR="00272CAC" w:rsidRPr="0021419F" w:rsidRDefault="00272CAC" w:rsidP="00272CAC">
      <w:pPr>
        <w:spacing w:line="360" w:lineRule="auto"/>
        <w:ind w:left="360"/>
        <w:jc w:val="both"/>
        <w:rPr>
          <w:rFonts w:ascii="David" w:hAnsi="David"/>
          <w:b/>
          <w:bCs/>
          <w:rtl/>
        </w:rPr>
      </w:pPr>
      <w:r w:rsidRPr="0021419F">
        <w:rPr>
          <w:rFonts w:ascii="David" w:hAnsi="David"/>
          <w:b/>
          <w:bCs/>
          <w:rtl/>
        </w:rPr>
        <w:t xml:space="preserve">"סעיף 20 לחוק העונשין מגדיר אדישות – "בשוויון נפש לאפשרות גרימת התוצאות האמורות". בהתאם להגדרה זו, כאשר מדובר בעבירת המתה, יש להוכיח כי העושה היה שווה נפש (לא אכפתי) לאפשרות גרימת המוות. זאת בניגוד ל"קלות דעת", שהיא הצורה הקלה ביותר במישור החפצי של המחשבה הפלילית, אשר משמעותה "נטילת סיכון בלתי סביר לאפשרות גרימת התוצאות האמורות, מתוך תקווה להצליח למנען". בפסיקה צוין כי קלות דעת, לעומת אדישות, דורשת "עמדה שלילית" בנוגע לתוצאה הקטלנית, היינו רצון או תקווה שהתוצאה לא תתרחש..". </w:t>
      </w:r>
    </w:p>
    <w:p w:rsidR="00272CAC" w:rsidRPr="0021419F"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sidRPr="00EC12E3">
        <w:rPr>
          <w:rFonts w:ascii="David" w:hAnsi="David"/>
          <w:rtl/>
        </w:rPr>
        <w:t>בית המשפט הוסיף וקבע בעניין מירזייב, לעניין קל הדעת, כי תקוות</w:t>
      </w:r>
      <w:r>
        <w:rPr>
          <w:rFonts w:ascii="David" w:hAnsi="David" w:hint="cs"/>
          <w:rtl/>
        </w:rPr>
        <w:t xml:space="preserve"> הנאשם</w:t>
      </w:r>
      <w:r w:rsidRPr="00EC12E3">
        <w:rPr>
          <w:rFonts w:ascii="David" w:hAnsi="David"/>
          <w:rtl/>
        </w:rPr>
        <w:t xml:space="preserve"> להצליח ולמנוע את גרימת התוצאה צריכה להיות </w:t>
      </w:r>
      <w:r w:rsidRPr="00EC12E3">
        <w:rPr>
          <w:rFonts w:ascii="David" w:hAnsi="David"/>
          <w:u w:val="single"/>
          <w:rtl/>
        </w:rPr>
        <w:t>תקווה בעלת אחיזה כלשהי במציאות ומעוגנת מבחינה עובדתית</w:t>
      </w:r>
      <w:r w:rsidRPr="00EC12E3">
        <w:rPr>
          <w:rFonts w:ascii="David" w:hAnsi="David"/>
          <w:rtl/>
        </w:rPr>
        <w:t>. בית המשפט הפנה למאמרו של פרופ' פלר (</w:t>
      </w:r>
      <w:hyperlink r:id="rId13" w:history="1">
        <w:r w:rsidRPr="00EC12E3">
          <w:rPr>
            <w:rFonts w:ascii="Miriam" w:hAnsi="Miriam" w:cs="Miriam"/>
            <w:rtl/>
          </w:rPr>
          <w:t xml:space="preserve">"'משחק מסוכן' כאירוע עברייני </w:t>
        </w:r>
      </w:hyperlink>
      <w:r w:rsidRPr="00EC12E3">
        <w:rPr>
          <w:rFonts w:ascii="Miriam" w:hAnsi="Miriam" w:cs="Miriam"/>
          <w:rtl/>
        </w:rPr>
        <w:t> – הערות למבנהו</w:t>
      </w:r>
      <w:r w:rsidRPr="00EC12E3">
        <w:rPr>
          <w:rFonts w:ascii="David" w:hAnsi="David"/>
          <w:rtl/>
        </w:rPr>
        <w:t>" משפטים כו 169), שם הוסיף המחבר שתקוותו של קל הדעת "</w:t>
      </w:r>
      <w:r w:rsidRPr="00EC12E3">
        <w:rPr>
          <w:rFonts w:ascii="David" w:hAnsi="David"/>
          <w:b/>
          <w:bCs/>
          <w:rtl/>
        </w:rPr>
        <w:t>אינה יכולה להיות בנויה על מקריות, מזלות או ניסים</w:t>
      </w:r>
      <w:r w:rsidRPr="00EC12E3">
        <w:rPr>
          <w:rFonts w:ascii="David" w:hAnsi="David"/>
          <w:rtl/>
        </w:rPr>
        <w:t xml:space="preserve">". </w:t>
      </w:r>
    </w:p>
    <w:p w:rsidR="00272CAC" w:rsidRDefault="00272CAC" w:rsidP="00272CAC">
      <w:pPr>
        <w:spacing w:line="360" w:lineRule="auto"/>
        <w:ind w:left="360"/>
        <w:jc w:val="both"/>
        <w:rPr>
          <w:rFonts w:ascii="David" w:hAnsi="David"/>
          <w:rtl/>
        </w:rPr>
      </w:pPr>
    </w:p>
    <w:p w:rsidR="00272CAC" w:rsidRPr="0025728F" w:rsidRDefault="00272CAC" w:rsidP="00272CAC">
      <w:pPr>
        <w:spacing w:line="360" w:lineRule="auto"/>
        <w:ind w:left="360"/>
        <w:jc w:val="both"/>
        <w:rPr>
          <w:rFonts w:ascii="David" w:hAnsi="David"/>
          <w:rtl/>
        </w:rPr>
      </w:pPr>
      <w:r w:rsidRPr="0025728F">
        <w:rPr>
          <w:rFonts w:ascii="David" w:hAnsi="David"/>
          <w:rtl/>
        </w:rPr>
        <w:lastRenderedPageBreak/>
        <w:t xml:space="preserve">בע"פ 1464/21 </w:t>
      </w:r>
      <w:hyperlink r:id="rId14" w:history="1">
        <w:r w:rsidRPr="0025728F">
          <w:rPr>
            <w:rStyle w:val="Hyperlink"/>
            <w:rFonts w:ascii="Miriam" w:hAnsi="Miriam" w:cs="Miriam"/>
            <w:color w:val="auto"/>
            <w:u w:val="none"/>
            <w:rtl/>
          </w:rPr>
          <w:t>קפוסטין נ' מדינת ישראל</w:t>
        </w:r>
      </w:hyperlink>
      <w:r w:rsidRPr="0025728F">
        <w:rPr>
          <w:rFonts w:ascii="David" w:hAnsi="David"/>
          <w:rtl/>
        </w:rPr>
        <w:t xml:space="preserve"> (11.9.22) (להלן: </w:t>
      </w:r>
      <w:r w:rsidRPr="0025728F">
        <w:rPr>
          <w:rFonts w:ascii="Miriam" w:hAnsi="Miriam" w:cs="Miriam"/>
          <w:rtl/>
        </w:rPr>
        <w:t>עניין קפוסטין</w:t>
      </w:r>
      <w:r w:rsidRPr="0025728F">
        <w:rPr>
          <w:rFonts w:ascii="David" w:hAnsi="David"/>
          <w:rtl/>
        </w:rPr>
        <w:t xml:space="preserve">) </w:t>
      </w:r>
      <w:r w:rsidRPr="0025728F">
        <w:rPr>
          <w:rFonts w:ascii="David" w:hAnsi="David" w:hint="cs"/>
          <w:rtl/>
        </w:rPr>
        <w:t>הרחיב בית המשפט באשר לפוגע האדיש. וכך באו הדברים לידי ביטוי</w:t>
      </w:r>
      <w:r w:rsidRPr="0025728F">
        <w:rPr>
          <w:rFonts w:ascii="David" w:hAnsi="David"/>
          <w:rtl/>
        </w:rPr>
        <w:t>:</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rtl/>
        </w:rPr>
        <w:t>"</w:t>
      </w:r>
      <w:r>
        <w:rPr>
          <w:rFonts w:ascii="David" w:hAnsi="David"/>
          <w:b/>
          <w:bCs/>
          <w:rtl/>
        </w:rPr>
        <w:t>...לפוגע האדיש לא אכפת אם הערך המוגן, ובענייננו חיי אדם, ייפגע או לא. הוא פועל מתוך אדישות לאפשרות גרימת המוות. משכך, יסוד נפשי זה מבטא זלזול מובהק והתנכרות חמורה לערך של חיי אדם – הממית באדישות בוחר לפעול אגב, או למרות, פגיעה בערך החברתי</w:t>
      </w:r>
      <w:r>
        <w:rPr>
          <w:rFonts w:ascii="David" w:hAnsi="David"/>
          <w:rtl/>
        </w:rPr>
        <w:t xml:space="preserve">". </w:t>
      </w:r>
    </w:p>
    <w:p w:rsidR="00272CAC" w:rsidRDefault="00272CAC" w:rsidP="00272CAC">
      <w:pPr>
        <w:spacing w:line="360" w:lineRule="auto"/>
        <w:jc w:val="both"/>
        <w:rPr>
          <w:rFonts w:ascii="David" w:hAnsi="David"/>
          <w:rtl/>
        </w:rPr>
      </w:pPr>
    </w:p>
    <w:p w:rsidR="00272CAC" w:rsidRDefault="00272CAC" w:rsidP="00272CAC">
      <w:pPr>
        <w:pStyle w:val="ac"/>
        <w:numPr>
          <w:ilvl w:val="0"/>
          <w:numId w:val="14"/>
        </w:numPr>
        <w:spacing w:after="0" w:line="360" w:lineRule="auto"/>
        <w:jc w:val="both"/>
        <w:rPr>
          <w:rFonts w:ascii="David" w:hAnsi="David" w:cs="David"/>
          <w:sz w:val="24"/>
          <w:szCs w:val="24"/>
          <w:rtl/>
        </w:rPr>
      </w:pPr>
      <w:r w:rsidRPr="00820933">
        <w:rPr>
          <w:rFonts w:ascii="David" w:hAnsi="David" w:cs="David" w:hint="cs"/>
          <w:b/>
          <w:bCs/>
          <w:sz w:val="24"/>
          <w:szCs w:val="24"/>
          <w:rtl/>
        </w:rPr>
        <w:t xml:space="preserve">בנוסף לפסיקה שהבהירה את המושגים לעיל, </w:t>
      </w:r>
      <w:r w:rsidRPr="00820933">
        <w:rPr>
          <w:rFonts w:ascii="David" w:hAnsi="David" w:cs="David"/>
          <w:b/>
          <w:bCs/>
          <w:sz w:val="24"/>
          <w:szCs w:val="24"/>
          <w:rtl/>
        </w:rPr>
        <w:t xml:space="preserve">אפנה לדברים הבאים שאף בהם יש לסייע ולמקד </w:t>
      </w:r>
      <w:r w:rsidRPr="00585BE5">
        <w:rPr>
          <w:rFonts w:ascii="David" w:hAnsi="David" w:cs="David"/>
          <w:sz w:val="24"/>
          <w:szCs w:val="24"/>
          <w:rtl/>
        </w:rPr>
        <w:t xml:space="preserve">–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sidRPr="00585BE5">
        <w:rPr>
          <w:rFonts w:ascii="David" w:hAnsi="David"/>
          <w:u w:val="single"/>
          <w:rtl/>
        </w:rPr>
        <w:t>במאמרה של גור-אריה על הרפורמה בעבירות המתה</w:t>
      </w:r>
      <w:r>
        <w:rPr>
          <w:rFonts w:ascii="David" w:hAnsi="David"/>
          <w:rtl/>
        </w:rPr>
        <w:t xml:space="preserve">, הזהירה המחברת מפני הרחבת יתר של עבירת הרצח באדישות והפנתה לכך כי הן האדיש והן קל הדעת צופים את אפשרות התרחשות התוצאה, קרי מות האדם. הועלה החשש שבתי המשפט ייטו לייחס לממית אדישות משום חשיבות ערך חיי האדם, ומתוך רצון לגנות התנהגות שגרמה למוות ומבלי לברר מבחינה עובדתית מה היתה הסיבה שהניעה את הנאשם שלא להימנע מהמעשה חרף אפשרות התרחשות התוצאה – האם </w:t>
      </w:r>
      <w:r>
        <w:rPr>
          <w:rFonts w:ascii="David" w:hAnsi="David"/>
          <w:u w:val="single"/>
          <w:rtl/>
        </w:rPr>
        <w:t>קיווה</w:t>
      </w:r>
      <w:r>
        <w:rPr>
          <w:rFonts w:ascii="David" w:hAnsi="David"/>
          <w:rtl/>
        </w:rPr>
        <w:t xml:space="preserve"> שהתוצאה לא תתרחש (קל הדעת), או ש</w:t>
      </w:r>
      <w:r>
        <w:rPr>
          <w:rFonts w:ascii="David" w:hAnsi="David"/>
          <w:u w:val="single"/>
          <w:rtl/>
        </w:rPr>
        <w:t>לא היה אכפת לו</w:t>
      </w:r>
      <w:r>
        <w:rPr>
          <w:rFonts w:ascii="David" w:hAnsi="David"/>
          <w:rtl/>
        </w:rPr>
        <w:t xml:space="preserve"> (האדיש).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Pr>
          <w:rFonts w:ascii="David" w:hAnsi="David" w:hint="cs"/>
          <w:rtl/>
        </w:rPr>
        <w:t xml:space="preserve">הודגש </w:t>
      </w:r>
      <w:r>
        <w:rPr>
          <w:rFonts w:ascii="David" w:hAnsi="David"/>
          <w:rtl/>
        </w:rPr>
        <w:t xml:space="preserve">שהשימוש הנורמטיבי במושג אדישות אינו יכול להחליף בחינה עובדתית בנוגע ליסוד הנפשי אצל מבצע העבירה (שם, עמ' 462). גור-אריה הצביעה על שני מצבים טיפוסיים </w:t>
      </w:r>
      <w:r>
        <w:rPr>
          <w:rFonts w:ascii="David" w:hAnsi="David" w:hint="cs"/>
          <w:rtl/>
        </w:rPr>
        <w:t>(</w:t>
      </w:r>
      <w:r>
        <w:rPr>
          <w:rFonts w:ascii="David" w:hAnsi="David"/>
          <w:rtl/>
        </w:rPr>
        <w:t>שאינם בהכרח ממצים</w:t>
      </w:r>
      <w:r>
        <w:rPr>
          <w:rFonts w:ascii="David" w:hAnsi="David" w:hint="cs"/>
          <w:rtl/>
        </w:rPr>
        <w:t>)</w:t>
      </w:r>
      <w:r>
        <w:rPr>
          <w:rFonts w:ascii="David" w:hAnsi="David"/>
          <w:rtl/>
        </w:rPr>
        <w:t xml:space="preserve">, בהם יהיה ניתן לייחס אדישות לממית: </w:t>
      </w:r>
      <w:r>
        <w:rPr>
          <w:rFonts w:ascii="David" w:hAnsi="David"/>
          <w:u w:val="single"/>
          <w:rtl/>
        </w:rPr>
        <w:t>הראשון</w:t>
      </w:r>
      <w:r>
        <w:rPr>
          <w:rFonts w:ascii="David" w:hAnsi="David"/>
          <w:rtl/>
        </w:rPr>
        <w:t xml:space="preserve"> הוא כאשר לנאשם יש מטרה לבצע עבירה פלילית חמורה והוא נחוש בדעתו להגשימה "</w:t>
      </w:r>
      <w:r w:rsidRPr="00585BE5">
        <w:rPr>
          <w:rFonts w:ascii="David" w:hAnsi="David"/>
          <w:b/>
          <w:bCs/>
          <w:rtl/>
        </w:rPr>
        <w:t>יהיו תוצאות הלוואי העלולות להתרחש בעקבות הגשמתה של מטרה זו אשר יהיו ..."</w:t>
      </w:r>
      <w:r>
        <w:rPr>
          <w:rFonts w:ascii="David" w:hAnsi="David"/>
          <w:b/>
          <w:bCs/>
          <w:rtl/>
        </w:rPr>
        <w:t xml:space="preserve">. </w:t>
      </w:r>
      <w:r>
        <w:rPr>
          <w:rFonts w:ascii="David" w:hAnsi="David"/>
          <w:rtl/>
        </w:rPr>
        <w:t xml:space="preserve">עם זאת מקרים אלה יוגדרו ממילא כרצח בנסיבות מחמירות לפי ס' 301א(א)(2) הנוגע לרצח תוך ביצוע עבירה אחרת; </w:t>
      </w:r>
      <w:r w:rsidRPr="00585BE5">
        <w:rPr>
          <w:rFonts w:ascii="David" w:hAnsi="David"/>
          <w:u w:val="single"/>
          <w:rtl/>
        </w:rPr>
        <w:t>והשני</w:t>
      </w:r>
      <w:r>
        <w:rPr>
          <w:rFonts w:ascii="David" w:hAnsi="David"/>
          <w:rtl/>
        </w:rPr>
        <w:t xml:space="preserve"> </w:t>
      </w:r>
      <w:r w:rsidRPr="00585BE5">
        <w:rPr>
          <w:rFonts w:ascii="David" w:hAnsi="David"/>
          <w:rtl/>
        </w:rPr>
        <w:t xml:space="preserve">כאשר אדם נוקט בריבוי מעשי אלימות שהסתיימו במוות. </w:t>
      </w:r>
    </w:p>
    <w:p w:rsidR="00272CAC"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sidRPr="00585BE5">
        <w:rPr>
          <w:rFonts w:ascii="David" w:hAnsi="David" w:hint="cs"/>
          <w:u w:val="single"/>
          <w:rtl/>
        </w:rPr>
        <w:t>ב</w:t>
      </w:r>
      <w:r w:rsidRPr="00585BE5">
        <w:rPr>
          <w:rFonts w:ascii="David" w:hAnsi="David"/>
          <w:u w:val="single"/>
          <w:rtl/>
        </w:rPr>
        <w:t>ספרם לעיל של קרמניצר וגנאים</w:t>
      </w:r>
      <w:r w:rsidRPr="00585BE5">
        <w:rPr>
          <w:rFonts w:ascii="David" w:hAnsi="David"/>
          <w:rtl/>
        </w:rPr>
        <w:t xml:space="preserve"> ציינו המחברים כי הממית בכוונה לא היה משנה מדרכיו גם לו ידע בוודאות שתיגרם התוצאה הקטלנית; בעוד לאדיש לא אכפת אם יביא למות הקורבן, הוא אינו מעדיף את אי התרחשות התוצאה על פני ההתרחשות ובכך מפגין זלזול מרחיק לכת כלפי ערך חיי האדם. זו גם הסיבה, כפי שכבר צוין לעיל, שהשניים לעיל קרובים מבחינה ערכית. </w:t>
      </w:r>
    </w:p>
    <w:p w:rsidR="00272CAC" w:rsidRDefault="00272CAC" w:rsidP="00272CAC">
      <w:pPr>
        <w:spacing w:line="360" w:lineRule="auto"/>
        <w:ind w:left="360"/>
        <w:jc w:val="both"/>
        <w:rPr>
          <w:rFonts w:ascii="David" w:hAnsi="David"/>
          <w:rtl/>
        </w:rPr>
      </w:pPr>
    </w:p>
    <w:p w:rsidR="00272CAC" w:rsidRPr="00585BE5" w:rsidRDefault="00272CAC" w:rsidP="00272CAC">
      <w:pPr>
        <w:spacing w:line="360" w:lineRule="auto"/>
        <w:ind w:left="360"/>
        <w:jc w:val="both"/>
        <w:rPr>
          <w:rFonts w:ascii="David" w:hAnsi="David"/>
          <w:rtl/>
        </w:rPr>
      </w:pPr>
      <w:r w:rsidRPr="00585BE5">
        <w:rPr>
          <w:rFonts w:ascii="David" w:hAnsi="David"/>
          <w:rtl/>
        </w:rPr>
        <w:t xml:space="preserve">המחברים הביאו כדוגמאות לרצח באדישות, הצתת או פיצוץ בניין מגורים, ירי לרכב או לבית מגורים כאשר המטרה היא "רק" לגרום נזק לרכוש או לגרום לפחד ובהלה וללא כוונה לגרום למוות (ללא ציפייה לכך בדרגה גבוהה של הסתברות </w:t>
      </w:r>
      <w:r>
        <w:rPr>
          <w:rFonts w:ascii="David" w:hAnsi="David" w:hint="cs"/>
          <w:rtl/>
        </w:rPr>
        <w:t>שאז מדובר ב</w:t>
      </w:r>
      <w:r w:rsidRPr="00585BE5">
        <w:rPr>
          <w:rFonts w:ascii="David" w:hAnsi="David"/>
          <w:rtl/>
        </w:rPr>
        <w:t>כוונה). קל הדעת</w:t>
      </w:r>
      <w:r>
        <w:rPr>
          <w:rFonts w:ascii="David" w:hAnsi="David" w:hint="cs"/>
          <w:rtl/>
        </w:rPr>
        <w:t>,</w:t>
      </w:r>
      <w:r w:rsidRPr="00585BE5">
        <w:rPr>
          <w:rFonts w:ascii="David" w:hAnsi="David"/>
          <w:rtl/>
        </w:rPr>
        <w:t xml:space="preserve"> לעומת זאת, </w:t>
      </w:r>
      <w:r w:rsidRPr="00585BE5">
        <w:rPr>
          <w:rFonts w:ascii="David" w:hAnsi="David"/>
          <w:rtl/>
        </w:rPr>
        <w:lastRenderedPageBreak/>
        <w:t>נוטל סיכון לא סביר המבוסס על תקוותו הרציונלית שיעלה בידיו למנוע את התוצאה. הרציונליות באה לידי ביטוי בעשייה הולמת שיהיה בה כדי למנוע את התממשות הסכנה. המחברים ציינו בהקשר לעיל כך:</w:t>
      </w:r>
    </w:p>
    <w:p w:rsidR="00272CAC" w:rsidRPr="00585BE5" w:rsidRDefault="00272CAC" w:rsidP="00272CAC">
      <w:pPr>
        <w:spacing w:line="360" w:lineRule="auto"/>
        <w:ind w:left="360"/>
        <w:jc w:val="both"/>
        <w:rPr>
          <w:rFonts w:ascii="David" w:hAnsi="David"/>
          <w:rtl/>
        </w:rPr>
      </w:pPr>
    </w:p>
    <w:p w:rsidR="00272CAC" w:rsidRDefault="00272CAC" w:rsidP="00272CAC">
      <w:pPr>
        <w:spacing w:line="360" w:lineRule="auto"/>
        <w:ind w:left="360"/>
        <w:jc w:val="both"/>
        <w:rPr>
          <w:rFonts w:ascii="David" w:hAnsi="David"/>
          <w:rtl/>
        </w:rPr>
      </w:pPr>
      <w:r w:rsidRPr="00585BE5">
        <w:rPr>
          <w:rFonts w:ascii="David" w:hAnsi="David"/>
          <w:b/>
          <w:bCs/>
          <w:rtl/>
        </w:rPr>
        <w:t>"... לקל הדעת, על אף אשמתו, אין יחס שלילי כלפי הערך המוגן. הוא מקווה שהתוצאה לא תתרחש, ואף נוקט אמצעים למניעת הפגיעה בערך המוגן, שלצערו לא צלחו. מכאן שאשמתו של קל הדעת היא אשמה שבשיקול הדעת. הוא טעה בהערכת אפשרות התממשות הסכנה או בהערכת האפשרות לנקוט צעדים יעילים למניעת התממשותה. הוא קרוב יחסית לרשלן מבחינת זו ששניהם משתייכים אל הטועים, שאינם זהירים די הצורך ואינם מגלים תבונה מספקת, בלשון גסה יותר – אל הטועים והטיפשים – במובחן מהרעים או הרשעים"</w:t>
      </w:r>
      <w:r w:rsidRPr="00585BE5">
        <w:rPr>
          <w:rFonts w:ascii="David" w:hAnsi="David"/>
          <w:rtl/>
        </w:rPr>
        <w:t xml:space="preserve"> (שם, עמ' 267). </w:t>
      </w:r>
    </w:p>
    <w:p w:rsidR="00272CAC" w:rsidRDefault="00272CAC" w:rsidP="00272CAC">
      <w:pPr>
        <w:spacing w:line="360" w:lineRule="auto"/>
        <w:ind w:left="360"/>
        <w:jc w:val="both"/>
        <w:rPr>
          <w:rFonts w:ascii="David" w:hAnsi="David"/>
          <w:rtl/>
        </w:rPr>
      </w:pPr>
    </w:p>
    <w:p w:rsidR="00272CAC" w:rsidRPr="00585BE5" w:rsidRDefault="00272CAC" w:rsidP="00272CAC">
      <w:pPr>
        <w:spacing w:line="360" w:lineRule="auto"/>
        <w:ind w:left="360"/>
        <w:jc w:val="both"/>
        <w:rPr>
          <w:rFonts w:ascii="David" w:hAnsi="David"/>
          <w:rtl/>
        </w:rPr>
      </w:pPr>
      <w:r w:rsidRPr="00585BE5">
        <w:rPr>
          <w:rFonts w:ascii="David" w:hAnsi="David" w:hint="cs"/>
          <w:rtl/>
        </w:rPr>
        <w:t>ב</w:t>
      </w:r>
      <w:r w:rsidRPr="00585BE5">
        <w:rPr>
          <w:rFonts w:ascii="David" w:hAnsi="David"/>
          <w:rtl/>
        </w:rPr>
        <w:t xml:space="preserve">מאמרו של </w:t>
      </w:r>
      <w:r w:rsidRPr="00585BE5">
        <w:rPr>
          <w:rFonts w:ascii="David" w:hAnsi="David"/>
          <w:u w:val="single"/>
          <w:rtl/>
        </w:rPr>
        <w:t>ד"ר אוהד גורדון "רצח באדישות"</w:t>
      </w:r>
      <w:r w:rsidRPr="00585BE5">
        <w:rPr>
          <w:rFonts w:ascii="David" w:hAnsi="David"/>
          <w:rtl/>
        </w:rPr>
        <w:t xml:space="preserve"> (ספר אדמונד לוי, עמ' 411-421) הציע </w:t>
      </w:r>
      <w:r>
        <w:rPr>
          <w:rFonts w:ascii="David" w:hAnsi="David" w:hint="cs"/>
          <w:rtl/>
        </w:rPr>
        <w:t xml:space="preserve">המחבר </w:t>
      </w:r>
      <w:r w:rsidRPr="00585BE5">
        <w:rPr>
          <w:rFonts w:ascii="David" w:hAnsi="David"/>
          <w:rtl/>
        </w:rPr>
        <w:t xml:space="preserve">מספר מבחני עזר להסקת אדישות, מעין "חזקת אדישות". הוצע, בין היתר, לבחון את עוצמת הסיכון שנטל הממית, וכן שורטטו קווים מבחינים בין חזקת הכוונה הקיימת זה מכבר לבין חזקת האדישות המוצעת. כך, מי שיורה צרור לעבר אוטובוס והמית את נוסעיו מוחזק כמי שהתכוון לתוצאות מעשיו; אך מי שירה ירי בודד לעבר הרכב או בסמוך לו, בלא לכוון ישירות לעבר נוסעיו, ייתכן ויהיה מקום ליישם לגביו את חזקת האדישות מקום בו "רק" ניסה להפחיד את הנוסעים. הוצע שחזקת האדישות תוכרע גם על פי המידה שבה הנאשם העריך שמעשיו יובילו למוות ולמרות זאת המשיך במעשיו. במידה והעריך את האפשרות כ"קרובה לוודאי" זו תהיה שקולה לכוונה לפי הלכת הצפיות; באם העריך את הסיכון ברמה גבוהה בלבד הדבר יחזק את המסקנה שהיה אדיש לתוצאה; אך אם העריך במידה פחותה את הסיכון, ותקווה זו גם מעוגנת במציאות, הוא ייקבע כקל דעת. </w:t>
      </w:r>
    </w:p>
    <w:p w:rsidR="00272CAC" w:rsidRDefault="00272CAC" w:rsidP="00272CAC">
      <w:pPr>
        <w:spacing w:line="360" w:lineRule="auto"/>
        <w:ind w:left="360"/>
        <w:jc w:val="both"/>
        <w:rPr>
          <w:rFonts w:ascii="David" w:hAnsi="David"/>
          <w:rtl/>
        </w:rPr>
      </w:pPr>
    </w:p>
    <w:p w:rsidR="00272CAC" w:rsidRPr="00820933" w:rsidRDefault="00272CAC" w:rsidP="00272CAC">
      <w:pPr>
        <w:pStyle w:val="ac"/>
        <w:numPr>
          <w:ilvl w:val="0"/>
          <w:numId w:val="14"/>
        </w:numPr>
        <w:spacing w:after="0" w:line="360" w:lineRule="auto"/>
        <w:jc w:val="both"/>
        <w:rPr>
          <w:rFonts w:ascii="David" w:hAnsi="David" w:cs="David"/>
          <w:b/>
          <w:bCs/>
          <w:sz w:val="24"/>
          <w:szCs w:val="24"/>
        </w:rPr>
      </w:pPr>
      <w:r w:rsidRPr="00820933">
        <w:rPr>
          <w:rFonts w:ascii="David" w:hAnsi="David" w:cs="David"/>
          <w:b/>
          <w:bCs/>
          <w:sz w:val="24"/>
          <w:szCs w:val="24"/>
          <w:rtl/>
        </w:rPr>
        <w:t>יישום הדין במקרים אחרים</w:t>
      </w:r>
      <w:r w:rsidRPr="00820933">
        <w:rPr>
          <w:rFonts w:ascii="David" w:hAnsi="David" w:cs="David" w:hint="cs"/>
          <w:b/>
          <w:bCs/>
          <w:sz w:val="24"/>
          <w:szCs w:val="24"/>
          <w:rtl/>
        </w:rPr>
        <w:t xml:space="preserve"> של "משחקים" בנשק</w:t>
      </w:r>
      <w:r>
        <w:rPr>
          <w:rFonts w:ascii="David" w:hAnsi="David" w:cs="David" w:hint="cs"/>
          <w:b/>
          <w:bCs/>
          <w:sz w:val="24"/>
          <w:szCs w:val="24"/>
          <w:rtl/>
        </w:rPr>
        <w:t xml:space="preserve"> - </w:t>
      </w:r>
      <w:r w:rsidRPr="00820933">
        <w:rPr>
          <w:rFonts w:ascii="David" w:hAnsi="David" w:cs="David"/>
          <w:b/>
          <w:bCs/>
          <w:sz w:val="24"/>
          <w:szCs w:val="24"/>
          <w:rtl/>
        </w:rPr>
        <w:t xml:space="preserve"> </w:t>
      </w:r>
    </w:p>
    <w:p w:rsidR="00272CAC" w:rsidRPr="00820933" w:rsidRDefault="00272CAC" w:rsidP="00272CAC">
      <w:pPr>
        <w:pStyle w:val="ac"/>
        <w:spacing w:after="0" w:line="360" w:lineRule="auto"/>
        <w:ind w:left="360"/>
        <w:jc w:val="both"/>
        <w:rPr>
          <w:rFonts w:ascii="David" w:hAnsi="David" w:cs="David"/>
          <w:sz w:val="24"/>
          <w:szCs w:val="24"/>
        </w:rPr>
      </w:pPr>
    </w:p>
    <w:p w:rsidR="00272CAC" w:rsidRDefault="00272CAC" w:rsidP="00272CAC">
      <w:pPr>
        <w:pStyle w:val="ac"/>
        <w:spacing w:after="0" w:line="360" w:lineRule="auto"/>
        <w:ind w:left="360"/>
        <w:jc w:val="both"/>
        <w:rPr>
          <w:rFonts w:ascii="David" w:hAnsi="David" w:cs="David"/>
          <w:sz w:val="24"/>
          <w:szCs w:val="24"/>
        </w:rPr>
      </w:pPr>
      <w:r w:rsidRPr="00C81473">
        <w:rPr>
          <w:rFonts w:ascii="David" w:hAnsi="David" w:cs="David"/>
          <w:sz w:val="24"/>
          <w:szCs w:val="24"/>
          <w:rtl/>
        </w:rPr>
        <w:t xml:space="preserve">לאחר שהובאו בתמצות ההבחנות העיוניות בין האדישות לבין קלות הדעת, אפנה לסקירה קזואיסטית ובלתי ממצה של פסיקה </w:t>
      </w:r>
      <w:r>
        <w:rPr>
          <w:rFonts w:ascii="David" w:hAnsi="David" w:cs="David" w:hint="cs"/>
          <w:sz w:val="24"/>
          <w:szCs w:val="24"/>
          <w:rtl/>
        </w:rPr>
        <w:t>הנוגעת למקרים של "משחקים" בנשק.</w:t>
      </w:r>
    </w:p>
    <w:p w:rsidR="00272CAC" w:rsidRDefault="00272CAC" w:rsidP="00272CAC">
      <w:pPr>
        <w:pStyle w:val="ac"/>
        <w:spacing w:after="0" w:line="360" w:lineRule="auto"/>
        <w:ind w:left="360"/>
        <w:jc w:val="both"/>
        <w:rPr>
          <w:rFonts w:ascii="David" w:hAnsi="David" w:cs="David"/>
          <w:sz w:val="24"/>
          <w:szCs w:val="24"/>
        </w:rPr>
      </w:pPr>
    </w:p>
    <w:p w:rsidR="00272CAC" w:rsidRPr="00221964" w:rsidRDefault="00272CAC" w:rsidP="00272CAC">
      <w:pPr>
        <w:pStyle w:val="ac"/>
        <w:tabs>
          <w:tab w:val="left" w:pos="1076"/>
          <w:tab w:val="left" w:pos="3686"/>
        </w:tabs>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sidRPr="0046037E">
        <w:rPr>
          <w:rFonts w:ascii="David" w:hAnsi="David" w:cs="David" w:hint="cs"/>
          <w:b/>
          <w:bCs/>
          <w:sz w:val="24"/>
          <w:szCs w:val="24"/>
          <w:rtl/>
        </w:rPr>
        <w:t xml:space="preserve">פסק הדין הבולט בהקשר זה הוא עניין מירו שכבר הוזכר לעיל </w:t>
      </w:r>
      <w:r>
        <w:rPr>
          <w:rFonts w:ascii="David" w:hAnsi="David" w:cs="David" w:hint="cs"/>
          <w:sz w:val="24"/>
          <w:szCs w:val="24"/>
          <w:rtl/>
        </w:rPr>
        <w:t>(</w:t>
      </w:r>
      <w:r w:rsidRPr="00221964">
        <w:rPr>
          <w:rFonts w:ascii="David" w:hAnsi="David" w:cs="David" w:hint="cs"/>
          <w:sz w:val="24"/>
          <w:szCs w:val="24"/>
          <w:rtl/>
        </w:rPr>
        <w:t>ע"פ 1971/98</w:t>
      </w:r>
      <w:r>
        <w:rPr>
          <w:rFonts w:ascii="David" w:hAnsi="David" w:cs="David" w:hint="cs"/>
          <w:sz w:val="24"/>
          <w:szCs w:val="24"/>
          <w:rtl/>
        </w:rPr>
        <w:t>).</w:t>
      </w:r>
      <w:r w:rsidRPr="00221964">
        <w:rPr>
          <w:rFonts w:ascii="David" w:hAnsi="David" w:cs="David" w:hint="cs"/>
          <w:sz w:val="24"/>
          <w:szCs w:val="24"/>
          <w:rtl/>
        </w:rPr>
        <w:t xml:space="preserve"> באותו מקרה </w:t>
      </w:r>
      <w:r w:rsidRPr="00221964">
        <w:rPr>
          <w:rFonts w:ascii="David" w:hAnsi="David" w:cs="David"/>
          <w:sz w:val="24"/>
          <w:szCs w:val="24"/>
          <w:rtl/>
        </w:rPr>
        <w:t>המערער</w:t>
      </w:r>
      <w:r>
        <w:rPr>
          <w:rFonts w:ascii="David" w:hAnsi="David" w:cs="David" w:hint="cs"/>
          <w:sz w:val="24"/>
          <w:szCs w:val="24"/>
          <w:rtl/>
        </w:rPr>
        <w:t>,</w:t>
      </w:r>
      <w:r w:rsidRPr="00221964">
        <w:rPr>
          <w:rFonts w:ascii="David" w:hAnsi="David" w:cs="David"/>
          <w:sz w:val="24"/>
          <w:szCs w:val="24"/>
          <w:rtl/>
        </w:rPr>
        <w:t xml:space="preserve"> </w:t>
      </w:r>
      <w:r w:rsidRPr="00221964">
        <w:rPr>
          <w:rFonts w:ascii="David" w:hAnsi="David" w:cs="David" w:hint="cs"/>
          <w:sz w:val="24"/>
          <w:szCs w:val="24"/>
          <w:rtl/>
        </w:rPr>
        <w:t xml:space="preserve">ששירת </w:t>
      </w:r>
      <w:r>
        <w:rPr>
          <w:rFonts w:ascii="David" w:hAnsi="David" w:cs="David" w:hint="cs"/>
          <w:sz w:val="24"/>
          <w:szCs w:val="24"/>
          <w:rtl/>
        </w:rPr>
        <w:t xml:space="preserve">בעברו </w:t>
      </w:r>
      <w:r w:rsidRPr="00221964">
        <w:rPr>
          <w:rFonts w:ascii="David" w:hAnsi="David" w:cs="David" w:hint="cs"/>
          <w:sz w:val="24"/>
          <w:szCs w:val="24"/>
          <w:rtl/>
        </w:rPr>
        <w:t>בצבא והיה מיומן בנשק</w:t>
      </w:r>
      <w:r>
        <w:rPr>
          <w:rFonts w:ascii="David" w:hAnsi="David" w:cs="David" w:hint="cs"/>
          <w:sz w:val="24"/>
          <w:szCs w:val="24"/>
          <w:rtl/>
        </w:rPr>
        <w:t xml:space="preserve">, </w:t>
      </w:r>
      <w:r w:rsidRPr="00221964">
        <w:rPr>
          <w:rFonts w:ascii="David" w:hAnsi="David" w:cs="David"/>
          <w:sz w:val="24"/>
          <w:szCs w:val="24"/>
          <w:rtl/>
        </w:rPr>
        <w:t xml:space="preserve">שהה בחדר </w:t>
      </w:r>
      <w:r w:rsidRPr="00221964">
        <w:rPr>
          <w:rFonts w:ascii="David" w:hAnsi="David" w:cs="David" w:hint="cs"/>
          <w:sz w:val="24"/>
          <w:szCs w:val="24"/>
          <w:rtl/>
        </w:rPr>
        <w:t xml:space="preserve">עם </w:t>
      </w:r>
      <w:r w:rsidRPr="00221964">
        <w:rPr>
          <w:rFonts w:ascii="David" w:hAnsi="David" w:cs="David"/>
          <w:sz w:val="24"/>
          <w:szCs w:val="24"/>
          <w:rtl/>
        </w:rPr>
        <w:t>שוטר</w:t>
      </w:r>
      <w:r w:rsidRPr="00221964">
        <w:rPr>
          <w:rFonts w:ascii="David" w:hAnsi="David" w:cs="David" w:hint="cs"/>
          <w:sz w:val="24"/>
          <w:szCs w:val="24"/>
          <w:rtl/>
        </w:rPr>
        <w:t xml:space="preserve">, עם </w:t>
      </w:r>
      <w:r w:rsidRPr="00221964">
        <w:rPr>
          <w:rFonts w:ascii="David" w:hAnsi="David" w:cs="David"/>
          <w:sz w:val="24"/>
          <w:szCs w:val="24"/>
          <w:rtl/>
        </w:rPr>
        <w:t xml:space="preserve">אדם נוסף, וכן </w:t>
      </w:r>
      <w:r w:rsidRPr="00221964">
        <w:rPr>
          <w:rFonts w:ascii="David" w:hAnsi="David" w:cs="David" w:hint="cs"/>
          <w:sz w:val="24"/>
          <w:szCs w:val="24"/>
          <w:rtl/>
        </w:rPr>
        <w:t xml:space="preserve">עם </w:t>
      </w:r>
      <w:r w:rsidRPr="00221964">
        <w:rPr>
          <w:rFonts w:ascii="David" w:hAnsi="David" w:cs="David"/>
          <w:sz w:val="24"/>
          <w:szCs w:val="24"/>
          <w:rtl/>
        </w:rPr>
        <w:t>המנוח</w:t>
      </w:r>
      <w:r w:rsidRPr="00221964">
        <w:rPr>
          <w:rFonts w:ascii="David" w:hAnsi="David" w:cs="David" w:hint="cs"/>
          <w:sz w:val="24"/>
          <w:szCs w:val="24"/>
          <w:rtl/>
        </w:rPr>
        <w:t xml:space="preserve"> שהיה </w:t>
      </w:r>
      <w:r w:rsidRPr="00221964">
        <w:rPr>
          <w:rFonts w:ascii="David" w:hAnsi="David" w:cs="David"/>
          <w:sz w:val="24"/>
          <w:szCs w:val="24"/>
          <w:rtl/>
        </w:rPr>
        <w:t>קרוב משפחה של המערער וחברו הטוב. המערער והשוטר ישבו האחד ליד השני על ספה</w:t>
      </w:r>
      <w:r w:rsidRPr="00221964">
        <w:rPr>
          <w:rFonts w:ascii="David" w:hAnsi="David" w:cs="David" w:hint="cs"/>
          <w:sz w:val="24"/>
          <w:szCs w:val="24"/>
          <w:rtl/>
        </w:rPr>
        <w:t>,</w:t>
      </w:r>
      <w:r w:rsidRPr="00221964">
        <w:rPr>
          <w:rFonts w:ascii="David" w:hAnsi="David" w:cs="David"/>
          <w:sz w:val="24"/>
          <w:szCs w:val="24"/>
          <w:rtl/>
        </w:rPr>
        <w:t xml:space="preserve"> ובשלב מסוים אקדח השירות של השוטר "נשר" מחגורתו אל הספה. המערער נטל את </w:t>
      </w:r>
      <w:r w:rsidRPr="00221964">
        <w:rPr>
          <w:rFonts w:ascii="David" w:hAnsi="David" w:cs="David"/>
          <w:sz w:val="24"/>
          <w:szCs w:val="24"/>
          <w:rtl/>
        </w:rPr>
        <w:lastRenderedPageBreak/>
        <w:t xml:space="preserve">האקדח, </w:t>
      </w:r>
      <w:r w:rsidRPr="00221964">
        <w:rPr>
          <w:rFonts w:ascii="David" w:hAnsi="David" w:cs="David"/>
          <w:sz w:val="24"/>
          <w:szCs w:val="24"/>
          <w:u w:val="single"/>
          <w:rtl/>
        </w:rPr>
        <w:t>דרך אותו</w:t>
      </w:r>
      <w:r w:rsidRPr="00221964">
        <w:rPr>
          <w:rFonts w:ascii="David" w:hAnsi="David" w:cs="David"/>
          <w:sz w:val="24"/>
          <w:szCs w:val="24"/>
          <w:rtl/>
        </w:rPr>
        <w:t>, כיוון אותו אל המנוח שעמד מולו ולחץ על ההדק. המנוח הספיק לקרוא לעבר המערער "</w:t>
      </w:r>
      <w:r w:rsidRPr="007212BE">
        <w:rPr>
          <w:rFonts w:ascii="David" w:hAnsi="David" w:cs="David"/>
          <w:b/>
          <w:bCs/>
          <w:sz w:val="24"/>
          <w:szCs w:val="24"/>
          <w:rtl/>
        </w:rPr>
        <w:t>..לא...לא...לא...</w:t>
      </w:r>
      <w:r w:rsidRPr="00221964">
        <w:rPr>
          <w:rFonts w:ascii="David" w:hAnsi="David" w:cs="David"/>
          <w:sz w:val="24"/>
          <w:szCs w:val="24"/>
          <w:rtl/>
        </w:rPr>
        <w:t xml:space="preserve">", אבל הירייה נורתה, והמנוח נפגע ונפטר. </w:t>
      </w:r>
    </w:p>
    <w:p w:rsidR="00272CAC" w:rsidRDefault="00272CAC" w:rsidP="00272CAC">
      <w:pPr>
        <w:tabs>
          <w:tab w:val="left" w:pos="3686"/>
        </w:tabs>
        <w:spacing w:line="360" w:lineRule="auto"/>
        <w:jc w:val="both"/>
        <w:rPr>
          <w:rFonts w:ascii="David" w:hAnsi="David"/>
          <w:rtl/>
        </w:rPr>
      </w:pPr>
    </w:p>
    <w:p w:rsidR="00272CAC" w:rsidRDefault="00272CAC" w:rsidP="00272CAC">
      <w:pPr>
        <w:tabs>
          <w:tab w:val="left" w:pos="3686"/>
        </w:tabs>
        <w:spacing w:line="360" w:lineRule="auto"/>
        <w:ind w:left="360"/>
        <w:jc w:val="both"/>
        <w:rPr>
          <w:rFonts w:ascii="David" w:hAnsi="David"/>
          <w:rtl/>
        </w:rPr>
      </w:pPr>
      <w:r w:rsidRPr="00114994">
        <w:rPr>
          <w:rFonts w:ascii="David" w:hAnsi="David" w:hint="cs"/>
          <w:rtl/>
        </w:rPr>
        <w:t>נוכח טענת המערער שלא היה מודע להימצאות המחסנית בתוך האקדח, הוקדש ח</w:t>
      </w:r>
      <w:r w:rsidRPr="00114994">
        <w:rPr>
          <w:rFonts w:ascii="David" w:hAnsi="David"/>
          <w:rtl/>
        </w:rPr>
        <w:t xml:space="preserve">לק ניכר מפסק </w:t>
      </w:r>
      <w:r w:rsidRPr="00114994">
        <w:rPr>
          <w:rFonts w:ascii="David" w:hAnsi="David" w:hint="cs"/>
          <w:rtl/>
        </w:rPr>
        <w:t xml:space="preserve">הדין </w:t>
      </w:r>
      <w:r w:rsidRPr="00114994">
        <w:rPr>
          <w:rFonts w:ascii="David" w:hAnsi="David"/>
          <w:rtl/>
        </w:rPr>
        <w:t xml:space="preserve">לשאלה </w:t>
      </w:r>
      <w:r w:rsidRPr="00114994">
        <w:rPr>
          <w:rFonts w:ascii="David" w:hAnsi="David" w:hint="cs"/>
          <w:rtl/>
        </w:rPr>
        <w:t xml:space="preserve">זו, שכן המאשימה נדרשת להוכיח, כידוע, בין היתר, </w:t>
      </w:r>
      <w:r w:rsidRPr="0082709C">
        <w:rPr>
          <w:rFonts w:ascii="David" w:hAnsi="David" w:hint="cs"/>
          <w:u w:val="single"/>
          <w:rtl/>
        </w:rPr>
        <w:t>את מודעות הנאשם לטיב המעשה וקיום הנסיבות</w:t>
      </w:r>
      <w:r>
        <w:rPr>
          <w:rFonts w:ascii="David" w:hAnsi="David" w:hint="cs"/>
          <w:rtl/>
        </w:rPr>
        <w:t xml:space="preserve"> (סוגיה שבענייננו אינה מעוררת, כאמור לעיל, בעייתיות מיוחדת)</w:t>
      </w:r>
      <w:r w:rsidRPr="00114994">
        <w:rPr>
          <w:rFonts w:ascii="David" w:hAnsi="David" w:hint="cs"/>
          <w:rtl/>
        </w:rPr>
        <w:t xml:space="preserve">. </w:t>
      </w:r>
      <w:r w:rsidRPr="00114994">
        <w:rPr>
          <w:rFonts w:ascii="David" w:hAnsi="David"/>
          <w:rtl/>
        </w:rPr>
        <w:t>כב' השופט אילן קבע כי גם אם המערער מסר דברי אמת בהקשר לעיל</w:t>
      </w:r>
      <w:r>
        <w:rPr>
          <w:rFonts w:ascii="David" w:hAnsi="David" w:hint="cs"/>
          <w:rtl/>
        </w:rPr>
        <w:t>,</w:t>
      </w:r>
      <w:r w:rsidRPr="00114994">
        <w:rPr>
          <w:rFonts w:ascii="David" w:hAnsi="David"/>
          <w:rtl/>
        </w:rPr>
        <w:t xml:space="preserve"> היינו כי סבר שהאקדח אינו טעון, אין בכך לסייע לו. נקבע כי</w:t>
      </w:r>
      <w:r>
        <w:rPr>
          <w:rFonts w:ascii="David" w:hAnsi="David" w:hint="cs"/>
          <w:rtl/>
        </w:rPr>
        <w:t>:</w:t>
      </w:r>
    </w:p>
    <w:p w:rsidR="00272CAC" w:rsidRDefault="00272CAC" w:rsidP="00272CAC">
      <w:pPr>
        <w:tabs>
          <w:tab w:val="left" w:pos="3686"/>
        </w:tabs>
        <w:spacing w:line="360" w:lineRule="auto"/>
        <w:ind w:left="360"/>
        <w:jc w:val="both"/>
        <w:rPr>
          <w:rFonts w:ascii="David" w:hAnsi="David"/>
          <w:rtl/>
        </w:rPr>
      </w:pPr>
    </w:p>
    <w:p w:rsidR="00272CAC" w:rsidRDefault="00272CAC" w:rsidP="00272CAC">
      <w:pPr>
        <w:tabs>
          <w:tab w:val="left" w:pos="3686"/>
        </w:tabs>
        <w:spacing w:line="360" w:lineRule="auto"/>
        <w:ind w:left="360"/>
        <w:jc w:val="both"/>
        <w:rPr>
          <w:rFonts w:ascii="David" w:hAnsi="David"/>
          <w:rtl/>
        </w:rPr>
      </w:pPr>
      <w:r w:rsidRPr="00114994">
        <w:rPr>
          <w:rFonts w:ascii="David" w:hAnsi="David"/>
          <w:rtl/>
        </w:rPr>
        <w:t>"</w:t>
      </w:r>
      <w:r w:rsidRPr="00114994">
        <w:rPr>
          <w:rFonts w:ascii="David" w:hAnsi="David"/>
          <w:b/>
          <w:bCs/>
          <w:rtl/>
        </w:rPr>
        <w:t xml:space="preserve">כשאנחנו אומרים שהוא צריך להיות מודע "לכל רכיבי היסוד העובדתי שבעבירה" אין זאת אומרת שהוא צריך לדעת שיש מחסנית באקדח. </w:t>
      </w:r>
      <w:r w:rsidRPr="00820933">
        <w:rPr>
          <w:rFonts w:ascii="David" w:hAnsi="David"/>
          <w:b/>
          <w:bCs/>
          <w:u w:val="single"/>
          <w:rtl/>
        </w:rPr>
        <w:t>די בכך שהוא יודע שהאקדח כלי מסוכן, שיש כללי זהירות שצריך לנהוג לפיהם כדי לנטרל סכנה זו ושהוא לא נקט כללים אלו אף-על-פי שהוא יודע שאי-נקיטת אמצעי זהירות יכולה להיות קטלנית</w:t>
      </w:r>
      <w:r w:rsidRPr="00114994">
        <w:rPr>
          <w:rFonts w:ascii="David" w:hAnsi="David"/>
          <w:b/>
          <w:bCs/>
          <w:rtl/>
        </w:rPr>
        <w:t>."</w:t>
      </w:r>
      <w:r w:rsidRPr="00114994">
        <w:rPr>
          <w:rFonts w:ascii="David" w:hAnsi="David"/>
          <w:rtl/>
        </w:rPr>
        <w:t xml:space="preserve"> </w:t>
      </w:r>
    </w:p>
    <w:p w:rsidR="00272CAC" w:rsidRDefault="00272CAC" w:rsidP="00272CAC">
      <w:pPr>
        <w:tabs>
          <w:tab w:val="left" w:pos="3686"/>
        </w:tabs>
        <w:spacing w:line="360" w:lineRule="auto"/>
        <w:ind w:left="360"/>
        <w:jc w:val="both"/>
        <w:rPr>
          <w:rFonts w:ascii="David" w:hAnsi="David"/>
          <w:rtl/>
        </w:rPr>
      </w:pPr>
    </w:p>
    <w:p w:rsidR="00272CAC" w:rsidRDefault="00272CAC" w:rsidP="00272CAC">
      <w:pPr>
        <w:tabs>
          <w:tab w:val="left" w:pos="3686"/>
        </w:tabs>
        <w:spacing w:line="360" w:lineRule="auto"/>
        <w:ind w:left="360"/>
        <w:jc w:val="both"/>
        <w:rPr>
          <w:rFonts w:ascii="David" w:hAnsi="David"/>
          <w:rtl/>
        </w:rPr>
      </w:pPr>
      <w:r w:rsidRPr="00114994">
        <w:rPr>
          <w:rFonts w:ascii="David" w:hAnsi="David"/>
          <w:rtl/>
        </w:rPr>
        <w:t>ובהמשך אף נקבע כי:</w:t>
      </w:r>
      <w:r w:rsidRPr="00114994">
        <w:rPr>
          <w:rFonts w:ascii="David" w:hAnsi="David" w:hint="cs"/>
          <w:rtl/>
        </w:rPr>
        <w:t xml:space="preserve"> </w:t>
      </w:r>
    </w:p>
    <w:p w:rsidR="00272CAC" w:rsidRDefault="00272CAC" w:rsidP="00272CAC">
      <w:pPr>
        <w:tabs>
          <w:tab w:val="left" w:pos="3686"/>
        </w:tabs>
        <w:spacing w:line="360" w:lineRule="auto"/>
        <w:ind w:left="360"/>
        <w:jc w:val="both"/>
        <w:rPr>
          <w:rFonts w:ascii="David" w:hAnsi="David"/>
          <w:rtl/>
        </w:rPr>
      </w:pPr>
    </w:p>
    <w:p w:rsidR="00272CAC" w:rsidRPr="00114994" w:rsidRDefault="00272CAC" w:rsidP="00272CAC">
      <w:pPr>
        <w:tabs>
          <w:tab w:val="left" w:pos="3686"/>
        </w:tabs>
        <w:spacing w:line="360" w:lineRule="auto"/>
        <w:ind w:left="360"/>
        <w:jc w:val="both"/>
        <w:rPr>
          <w:rFonts w:ascii="David" w:hAnsi="David"/>
          <w:rtl/>
        </w:rPr>
      </w:pPr>
      <w:r w:rsidRPr="00114994">
        <w:rPr>
          <w:rFonts w:ascii="David" w:hAnsi="David"/>
          <w:rtl/>
        </w:rPr>
        <w:t>"</w:t>
      </w:r>
      <w:r w:rsidRPr="00114994">
        <w:rPr>
          <w:rFonts w:ascii="David" w:hAnsi="David"/>
          <w:b/>
          <w:bCs/>
          <w:rtl/>
        </w:rPr>
        <w:t xml:space="preserve">צריך לזכור שהנאשם גם לא העיד שהוא "ידע" או חשב שאין מחסנית באקדח. אילו היה טוען כך, היה צריך לבחון את ההגנה של טעות בעובדה... עניות דעתי היא </w:t>
      </w:r>
      <w:r w:rsidRPr="00820933">
        <w:rPr>
          <w:rFonts w:ascii="David" w:hAnsi="David"/>
          <w:b/>
          <w:bCs/>
          <w:rtl/>
        </w:rPr>
        <w:t xml:space="preserve">שדי בכך שהנאשם מודע לכך שהוא מחזיק בידו כלי מסוכן שנועד להרוג, אינו בודק אם הוא טעון ועושה פעולות הדרושות לשם ירייה. דהיינו, דורך את האקדח ולוחץ על ההדק – כל זאת כשהוא מכוון אותו אל אדם העומד מולו – כדי לקיים הן את הרכיב העובדתי והן את הרכיב הנפשי של עבירת ההריגה. </w:t>
      </w:r>
      <w:r w:rsidRPr="00820933">
        <w:rPr>
          <w:rFonts w:ascii="David" w:hAnsi="David"/>
          <w:b/>
          <w:bCs/>
          <w:u w:val="single"/>
          <w:rtl/>
        </w:rPr>
        <w:t>כוונתי היא לרכיב הנפשי בדרגה של "קלות דעת</w:t>
      </w:r>
      <w:r w:rsidRPr="00820933">
        <w:rPr>
          <w:rFonts w:ascii="David" w:hAnsi="David"/>
          <w:b/>
          <w:bCs/>
          <w:rtl/>
        </w:rPr>
        <w:t>"</w:t>
      </w:r>
      <w:r>
        <w:rPr>
          <w:rFonts w:ascii="David" w:hAnsi="David" w:hint="cs"/>
          <w:rtl/>
        </w:rPr>
        <w:t xml:space="preserve"> "</w:t>
      </w:r>
      <w:r w:rsidRPr="00114994">
        <w:rPr>
          <w:rFonts w:ascii="David" w:hAnsi="David"/>
          <w:rtl/>
        </w:rPr>
        <w:t>.</w:t>
      </w:r>
      <w:r>
        <w:rPr>
          <w:rFonts w:ascii="David" w:hAnsi="David" w:hint="cs"/>
          <w:rtl/>
        </w:rPr>
        <w:t xml:space="preserve"> </w:t>
      </w:r>
    </w:p>
    <w:p w:rsidR="00272CAC" w:rsidRPr="00114994"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114994">
        <w:rPr>
          <w:rFonts w:ascii="David" w:hAnsi="David" w:cs="David" w:hint="cs"/>
          <w:sz w:val="24"/>
          <w:szCs w:val="24"/>
          <w:rtl/>
        </w:rPr>
        <w:t>גם כב' השופט קדמי הצטרף לעמדה לעיל וציין כי</w:t>
      </w:r>
      <w:r>
        <w:rPr>
          <w:rFonts w:ascii="David" w:hAnsi="David" w:cs="David" w:hint="cs"/>
          <w:sz w:val="24"/>
          <w:szCs w:val="24"/>
          <w:rtl/>
        </w:rPr>
        <w:t>:</w:t>
      </w:r>
      <w:r w:rsidRPr="00114994">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114994">
        <w:rPr>
          <w:rFonts w:ascii="David" w:hAnsi="David" w:cs="David" w:hint="cs"/>
          <w:sz w:val="24"/>
          <w:szCs w:val="24"/>
          <w:rtl/>
        </w:rPr>
        <w:t>"</w:t>
      </w:r>
      <w:r w:rsidRPr="00114994">
        <w:rPr>
          <w:rFonts w:ascii="David" w:hAnsi="David" w:cs="David"/>
          <w:b/>
          <w:bCs/>
          <w:sz w:val="24"/>
          <w:szCs w:val="24"/>
          <w:rtl/>
        </w:rPr>
        <w:t xml:space="preserve">חזקה על כל אדם, שהוא ער ומודע לקיומה של אפשרות ממשית להתרחשותה של ירייה כתוצאה מלחיצה על הדק של כלי ירייה, ואין זה מעלה או מוריד אם היה מודע לכך, שאותו כלי ירייה טעון ו"מוכן" לירי אם לאו. אקדח, ככלי </w:t>
      </w:r>
      <w:r w:rsidRPr="00114994">
        <w:rPr>
          <w:rFonts w:ascii="David" w:hAnsi="David" w:cs="David" w:hint="cs"/>
          <w:b/>
          <w:bCs/>
          <w:sz w:val="24"/>
          <w:szCs w:val="24"/>
          <w:rtl/>
        </w:rPr>
        <w:t xml:space="preserve"> </w:t>
      </w:r>
      <w:r w:rsidRPr="00114994">
        <w:rPr>
          <w:rFonts w:ascii="David" w:hAnsi="David" w:cs="David"/>
          <w:b/>
          <w:bCs/>
          <w:sz w:val="24"/>
          <w:szCs w:val="24"/>
          <w:rtl/>
        </w:rPr>
        <w:t>נשק שסיכון הירי "טבוע" בו, לעולם נחשב כ"מוכן" לירי, ומי שמטפל בו מוחזק כמי שמודע לכך</w:t>
      </w:r>
      <w:r w:rsidRPr="00114994">
        <w:rPr>
          <w:rFonts w:ascii="David" w:hAnsi="David" w:cs="David" w:hint="cs"/>
          <w:b/>
          <w:bCs/>
          <w:sz w:val="24"/>
          <w:szCs w:val="24"/>
          <w:rtl/>
        </w:rPr>
        <w:t>"</w:t>
      </w:r>
      <w:r w:rsidRPr="00114994">
        <w:rPr>
          <w:rFonts w:ascii="David" w:hAnsi="David" w:cs="David"/>
          <w:sz w:val="24"/>
          <w:szCs w:val="24"/>
          <w:rtl/>
        </w:rPr>
        <w:t>.</w:t>
      </w:r>
      <w:r>
        <w:rPr>
          <w:rFonts w:ascii="David" w:hAnsi="David" w:cs="David" w:hint="cs"/>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לעניין </w:t>
      </w:r>
      <w:r w:rsidRPr="00114994">
        <w:rPr>
          <w:rFonts w:ascii="David" w:hAnsi="David" w:cs="David" w:hint="cs"/>
          <w:sz w:val="24"/>
          <w:szCs w:val="24"/>
          <w:rtl/>
        </w:rPr>
        <w:t>סוגיית התקווה להימנע מתוצאות המעשה</w:t>
      </w:r>
      <w:r>
        <w:rPr>
          <w:rFonts w:ascii="David" w:hAnsi="David" w:cs="David" w:hint="cs"/>
          <w:sz w:val="24"/>
          <w:szCs w:val="24"/>
          <w:rtl/>
        </w:rPr>
        <w:t xml:space="preserve">, ציין השופט קדמי כי זו </w:t>
      </w:r>
      <w:r w:rsidRPr="00114994">
        <w:rPr>
          <w:rFonts w:ascii="David" w:hAnsi="David" w:cs="David" w:hint="cs"/>
          <w:sz w:val="24"/>
          <w:szCs w:val="24"/>
          <w:rtl/>
        </w:rPr>
        <w:t xml:space="preserve">יכולה להיוותר ב"צריך עיון";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lastRenderedPageBreak/>
        <w:t>כב' השופט מצא התייחס לשאלת "</w:t>
      </w:r>
      <w:r w:rsidRPr="0082709C">
        <w:rPr>
          <w:rFonts w:ascii="David" w:hAnsi="David" w:cs="David" w:hint="cs"/>
          <w:sz w:val="24"/>
          <w:szCs w:val="24"/>
          <w:u w:val="single"/>
          <w:rtl/>
        </w:rPr>
        <w:t>התקווה להימנע מתוצאות המעשה</w:t>
      </w:r>
      <w:r>
        <w:rPr>
          <w:rFonts w:ascii="David" w:hAnsi="David" w:cs="David" w:hint="cs"/>
          <w:sz w:val="24"/>
          <w:szCs w:val="24"/>
          <w:rtl/>
        </w:rPr>
        <w:t>"</w:t>
      </w:r>
      <w:r w:rsidRPr="00114994">
        <w:rPr>
          <w:rFonts w:ascii="David" w:hAnsi="David" w:cs="David" w:hint="cs"/>
          <w:sz w:val="24"/>
          <w:szCs w:val="24"/>
          <w:rtl/>
        </w:rPr>
        <w:t xml:space="preserve">, </w:t>
      </w:r>
      <w:r>
        <w:rPr>
          <w:rFonts w:ascii="David" w:hAnsi="David" w:cs="David" w:hint="cs"/>
          <w:sz w:val="24"/>
          <w:szCs w:val="24"/>
          <w:rtl/>
        </w:rPr>
        <w:t>גם אם "</w:t>
      </w:r>
      <w:r w:rsidRPr="00114994">
        <w:rPr>
          <w:rFonts w:ascii="David" w:hAnsi="David" w:cs="David" w:hint="cs"/>
          <w:sz w:val="24"/>
          <w:szCs w:val="24"/>
          <w:rtl/>
        </w:rPr>
        <w:t>מעבר לנדרש</w:t>
      </w:r>
      <w:r>
        <w:rPr>
          <w:rFonts w:ascii="David" w:hAnsi="David" w:cs="David" w:hint="cs"/>
          <w:sz w:val="24"/>
          <w:szCs w:val="24"/>
          <w:rtl/>
        </w:rPr>
        <w:t>"</w:t>
      </w:r>
      <w:r w:rsidRPr="00114994">
        <w:rPr>
          <w:rFonts w:ascii="David" w:hAnsi="David" w:cs="David" w:hint="cs"/>
          <w:sz w:val="24"/>
          <w:szCs w:val="24"/>
          <w:rtl/>
        </w:rPr>
        <w:t>, וציין כי</w:t>
      </w:r>
      <w:r>
        <w:rPr>
          <w:rFonts w:ascii="David" w:hAnsi="David" w:cs="David" w:hint="cs"/>
          <w:sz w:val="24"/>
          <w:szCs w:val="24"/>
          <w:rtl/>
        </w:rPr>
        <w:t>:</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114994">
        <w:rPr>
          <w:rFonts w:ascii="David" w:hAnsi="David" w:cs="David" w:hint="cs"/>
          <w:sz w:val="24"/>
          <w:szCs w:val="24"/>
          <w:rtl/>
        </w:rPr>
        <w:t>"</w:t>
      </w:r>
      <w:r w:rsidRPr="00820933">
        <w:rPr>
          <w:rFonts w:ascii="David" w:hAnsi="David" w:cs="David"/>
          <w:b/>
          <w:bCs/>
          <w:sz w:val="24"/>
          <w:szCs w:val="24"/>
          <w:u w:val="single"/>
          <w:rtl/>
        </w:rPr>
        <w:t xml:space="preserve">מקום שהנאשם גילה אכפתיות (או, מוטב לומר, לא גילה אי-אכפתיות) להתממשות הסיכון, ופעל בהנחה שהסיכון לא יתממש, הגם שלא נקט אמצעים לקידום פני הסיכון, יימצא אשם בפזיזות העולה כדי "קלות דעת" בלבד. אימוץ הגישה האחרת יוביל לכך כי בררת המחדל – מחדלו של הנאשם להראות כי נקט אמצעים למנוע את תוצאות הסכנה – תהא הרשעתו בפזיזות העולה כדי "אדישות". ולתוצאה כה קשה, שיש עמה הן משום חריגה מהוראתו של </w:t>
      </w:r>
      <w:hyperlink r:id="rId15" w:history="1">
        <w:r w:rsidRPr="00820933">
          <w:rPr>
            <w:rFonts w:ascii="David" w:hAnsi="David" w:cs="David"/>
            <w:b/>
            <w:bCs/>
            <w:sz w:val="24"/>
            <w:szCs w:val="24"/>
            <w:u w:val="single"/>
            <w:rtl/>
          </w:rPr>
          <w:t>סעיף 34כא</w:t>
        </w:r>
      </w:hyperlink>
      <w:r w:rsidRPr="00820933">
        <w:rPr>
          <w:rFonts w:ascii="David" w:hAnsi="David" w:cs="David"/>
          <w:b/>
          <w:bCs/>
          <w:sz w:val="24"/>
          <w:szCs w:val="24"/>
          <w:u w:val="single"/>
          <w:rtl/>
        </w:rPr>
        <w:t xml:space="preserve"> ל</w:t>
      </w:r>
      <w:hyperlink r:id="rId16" w:history="1">
        <w:r w:rsidRPr="00820933">
          <w:rPr>
            <w:rFonts w:ascii="David" w:hAnsi="David" w:cs="David"/>
            <w:b/>
            <w:bCs/>
            <w:sz w:val="24"/>
            <w:szCs w:val="24"/>
            <w:u w:val="single"/>
            <w:rtl/>
          </w:rPr>
          <w:t>חוק העונשין</w:t>
        </w:r>
      </w:hyperlink>
      <w:r w:rsidRPr="00820933">
        <w:rPr>
          <w:rFonts w:ascii="David" w:hAnsi="David" w:cs="David"/>
          <w:b/>
          <w:bCs/>
          <w:sz w:val="24"/>
          <w:szCs w:val="24"/>
          <w:u w:val="single"/>
          <w:rtl/>
        </w:rPr>
        <w:t>, והן משום היפוך יוצרותיהם של הנטלים הראייתיים, אינני מוצא עיגון בלשון החוק</w:t>
      </w:r>
      <w:r w:rsidRPr="00114994">
        <w:rPr>
          <w:rFonts w:ascii="David" w:hAnsi="David" w:cs="David" w:hint="cs"/>
          <w:sz w:val="24"/>
          <w:szCs w:val="24"/>
          <w:rtl/>
        </w:rPr>
        <w:t>"</w:t>
      </w:r>
      <w:r w:rsidRPr="00114994">
        <w:rPr>
          <w:rFonts w:ascii="David" w:hAnsi="David" w:cs="David"/>
          <w:sz w:val="24"/>
          <w:szCs w:val="24"/>
          <w:rtl/>
        </w:rPr>
        <w:t xml:space="preserve">. </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114994">
        <w:rPr>
          <w:rFonts w:ascii="David" w:hAnsi="David" w:cs="David"/>
          <w:noProof/>
          <w:sz w:val="24"/>
          <w:szCs w:val="24"/>
          <w:rtl/>
        </w:rPr>
        <mc:AlternateContent>
          <mc:Choice Requires="wpg">
            <w:drawing>
              <wp:anchor distT="0" distB="0" distL="114300" distR="114300" simplePos="0" relativeHeight="251659264" behindDoc="0" locked="0" layoutInCell="0" allowOverlap="1" wp14:anchorId="760B3A4B" wp14:editId="27C84C0A">
                <wp:simplePos x="0" y="0"/>
                <wp:positionH relativeFrom="column">
                  <wp:posOffset>4428490</wp:posOffset>
                </wp:positionH>
                <wp:positionV relativeFrom="margin">
                  <wp:posOffset>323850</wp:posOffset>
                </wp:positionV>
                <wp:extent cx="180975" cy="5185410"/>
                <wp:effectExtent l="4445" t="1905" r="0" b="3810"/>
                <wp:wrapNone/>
                <wp:docPr id="129" name="קבוצה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30" name="Rectangle 131"/>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72CAC" w:rsidRDefault="00272CAC" w:rsidP="00272CAC">
                              <w:pPr>
                                <w:rPr>
                                  <w:rtl/>
                                </w:rPr>
                              </w:pPr>
                            </w:p>
                          </w:txbxContent>
                        </wps:txbx>
                        <wps:bodyPr rot="0" vert="horz" wrap="square" lIns="12700" tIns="12700" rIns="12700" bIns="12700" anchor="t" anchorCtr="0" upright="1">
                          <a:noAutofit/>
                        </wps:bodyPr>
                      </wps:wsp>
                      <wps:wsp>
                        <wps:cNvPr id="131" name="Rectangle 132"/>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72CAC" w:rsidRDefault="00272CAC" w:rsidP="00272CAC">
                              <w:pPr>
                                <w:rPr>
                                  <w:rtl/>
                                </w:rPr>
                              </w:pPr>
                            </w:p>
                          </w:txbxContent>
                        </wps:txbx>
                        <wps:bodyPr rot="0" vert="horz" wrap="square" lIns="12700" tIns="12700" rIns="12700" bIns="12700" anchor="t" anchorCtr="0" upright="1">
                          <a:noAutofit/>
                        </wps:bodyPr>
                      </wps:wsp>
                      <wps:wsp>
                        <wps:cNvPr id="132" name="Rectangle 133"/>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72CAC" w:rsidRDefault="00272CAC" w:rsidP="00272CAC">
                              <w:pPr>
                                <w:rPr>
                                  <w:rtl/>
                                </w:rPr>
                              </w:pPr>
                            </w:p>
                          </w:txbxContent>
                        </wps:txbx>
                        <wps:bodyPr rot="0" vert="horz" wrap="square" lIns="12700" tIns="12700" rIns="12700" bIns="12700" anchor="t" anchorCtr="0" upright="1">
                          <a:noAutofit/>
                        </wps:bodyPr>
                      </wps:wsp>
                      <wps:wsp>
                        <wps:cNvPr id="133" name="Rectangle 134"/>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72CAC" w:rsidRDefault="00272CAC" w:rsidP="00272CAC">
                              <w:pPr>
                                <w:rPr>
                                  <w:rtl/>
                                </w:rPr>
                              </w:pPr>
                            </w:p>
                          </w:txbxContent>
                        </wps:txbx>
                        <wps:bodyPr rot="0" vert="horz" wrap="square" lIns="12700" tIns="12700" rIns="12700" bIns="12700" anchor="t" anchorCtr="0" upright="1">
                          <a:noAutofit/>
                        </wps:bodyPr>
                      </wps:wsp>
                      <wps:wsp>
                        <wps:cNvPr id="134" name="Rectangle 135"/>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72CAC" w:rsidRDefault="00272CAC" w:rsidP="00272CAC">
                              <w:pPr>
                                <w:rPr>
                                  <w:rtl/>
                                </w:rPr>
                              </w:pPr>
                            </w:p>
                          </w:txbxContent>
                        </wps:txbx>
                        <wps:bodyPr rot="0" vert="horz" wrap="square" lIns="12700" tIns="12700" rIns="12700" bIns="12700" anchor="t" anchorCtr="0" upright="1">
                          <a:noAutofit/>
                        </wps:bodyPr>
                      </wps:wsp>
                      <wps:wsp>
                        <wps:cNvPr id="135" name="Rectangle 136"/>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72CAC" w:rsidRDefault="00272CAC" w:rsidP="00272CAC">
                              <w:pPr>
                                <w:rPr>
                                  <w:rtl/>
                                </w:rPr>
                              </w:pPr>
                            </w:p>
                          </w:txbxContent>
                        </wps:txbx>
                        <wps:bodyPr rot="0" vert="horz" wrap="square" lIns="12700" tIns="12700" rIns="12700" bIns="12700" anchor="t" anchorCtr="0" upright="1">
                          <a:noAutofit/>
                        </wps:bodyPr>
                      </wps:wsp>
                      <wps:wsp>
                        <wps:cNvPr id="136" name="Rectangle 137"/>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72CAC" w:rsidRDefault="00272CAC" w:rsidP="00272CAC">
                              <w:pPr>
                                <w:rPr>
                                  <w:rtl/>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group id="קבוצה 129" style="position:absolute;left:0;text-align:left;margin-left:348.7pt;margin-top:25.5pt;width:14.25pt;height:408.3pt;z-index:251659264;mso-position-vertical-relative:margin" coordsize="20000,20000" o:spid="_x0000_s1026" o:allowincell="f" w14:anchorId="760B3A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">
                <v:rect id="Rectangle 131" style="position:absolute;width:20000;height:698;visibility:visible;mso-wrap-style:square;v-text-anchor:top" o:spid="_x0000_s1027" filled="f" stroked="f"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">
                  <v:textbox inset="1pt,1pt,1pt,1pt">
                    <w:txbxContent>
                      <w:p w:rsidR="00272CAC" w:rsidP="00272CAC" w:rsidRDefault="00272CAC">
                        <w:pPr>
                          <w:rPr>
                            <w:rtl/>
                          </w:rPr>
                        </w:pPr>
                      </w:p>
                    </w:txbxContent>
                  </v:textbox>
                </v:rect>
                <v:rect id="Rectangle 132" style="position:absolute;top:3262;width:20000;height:698;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">
                  <v:textbox inset="1pt,1pt,1pt,1pt">
                    <w:txbxContent>
                      <w:p w:rsidR="00272CAC" w:rsidP="00272CAC" w:rsidRDefault="00272CAC">
                        <w:pPr>
                          <w:rPr>
                            <w:rtl/>
                          </w:rPr>
                        </w:pPr>
                      </w:p>
                    </w:txbxContent>
                  </v:textbox>
                </v:rect>
                <v:rect id="Rectangle 133" style="position:absolute;top:6458;width:20000;height:698;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">
                  <v:textbox inset="1pt,1pt,1pt,1pt">
                    <w:txbxContent>
                      <w:p w:rsidR="00272CAC" w:rsidP="00272CAC" w:rsidRDefault="00272CAC">
                        <w:pPr>
                          <w:rPr>
                            <w:rtl/>
                          </w:rPr>
                        </w:pPr>
                      </w:p>
                    </w:txbxContent>
                  </v:textbox>
                </v:rect>
                <v:rect id="Rectangle 134" style="position:absolute;top:9652;width:20000;height:698;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">
                  <v:textbox inset="1pt,1pt,1pt,1pt">
                    <w:txbxContent>
                      <w:p w:rsidR="00272CAC" w:rsidP="00272CAC" w:rsidRDefault="00272CAC">
                        <w:pPr>
                          <w:rPr>
                            <w:rtl/>
                          </w:rPr>
                        </w:pPr>
                      </w:p>
                    </w:txbxContent>
                  </v:textbox>
                </v:rect>
                <v:rect id="Rectangle 135" style="position:absolute;top:12846;width:20000;height:698;visibility:visible;mso-wrap-style:squar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">
                  <v:textbox inset="1pt,1pt,1pt,1pt">
                    <w:txbxContent>
                      <w:p w:rsidR="00272CAC" w:rsidP="00272CAC" w:rsidRDefault="00272CAC">
                        <w:pPr>
                          <w:rPr>
                            <w:rtl/>
                          </w:rPr>
                        </w:pPr>
                      </w:p>
                    </w:txbxContent>
                  </v:textbox>
                </v:rect>
                <v:rect id="Rectangle 136" style="position:absolute;top:16108;width:20000;height:698;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">
                  <v:textbox inset="1pt,1pt,1pt,1pt">
                    <w:txbxContent>
                      <w:p w:rsidR="00272CAC" w:rsidP="00272CAC" w:rsidRDefault="00272CAC">
                        <w:pPr>
                          <w:rPr>
                            <w:rtl/>
                          </w:rPr>
                        </w:pPr>
                      </w:p>
                    </w:txbxContent>
                  </v:textbox>
                </v:rect>
                <v:rect id="Rectangle 137" style="position:absolute;top:19302;width:20000;height:698;visibility:visible;mso-wrap-style:square;v-text-anchor:top" o:spid="_x0000_s10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">
                  <v:textbox inset="1pt,1pt,1pt,1pt">
                    <w:txbxContent>
                      <w:p w:rsidR="00272CAC" w:rsidP="00272CAC" w:rsidRDefault="00272CAC">
                        <w:pPr>
                          <w:rPr>
                            <w:rtl/>
                          </w:rPr>
                        </w:pPr>
                      </w:p>
                    </w:txbxContent>
                  </v:textbox>
                </v:rect>
                <w10:wrap anchory="margin"/>
              </v:group>
            </w:pict>
          </mc:Fallback>
        </mc:AlternateContent>
      </w:r>
      <w:r>
        <w:rPr>
          <w:rFonts w:ascii="David" w:hAnsi="David" w:cs="David" w:hint="cs"/>
          <w:sz w:val="24"/>
          <w:szCs w:val="24"/>
          <w:rtl/>
        </w:rPr>
        <w:t>עוד נקבע בנדון כך</w:t>
      </w:r>
      <w:r w:rsidRPr="00114994">
        <w:rPr>
          <w:rFonts w:ascii="David" w:hAnsi="David" w:cs="David" w:hint="cs"/>
          <w:sz w:val="24"/>
          <w:szCs w:val="24"/>
          <w:rtl/>
        </w:rPr>
        <w:t>:</w:t>
      </w:r>
    </w:p>
    <w:p w:rsidR="00272CAC" w:rsidRDefault="00272CAC" w:rsidP="00272CAC">
      <w:pPr>
        <w:pStyle w:val="ac"/>
        <w:spacing w:after="0" w:line="360" w:lineRule="auto"/>
        <w:ind w:left="360"/>
        <w:jc w:val="both"/>
        <w:rPr>
          <w:rFonts w:ascii="David" w:hAnsi="David" w:cs="David"/>
          <w:sz w:val="24"/>
          <w:szCs w:val="24"/>
          <w:rtl/>
        </w:rPr>
      </w:pPr>
    </w:p>
    <w:p w:rsidR="00272CAC" w:rsidRDefault="00272CAC" w:rsidP="00272CAC">
      <w:pPr>
        <w:pStyle w:val="ac"/>
        <w:spacing w:after="0" w:line="360" w:lineRule="auto"/>
        <w:ind w:left="360"/>
        <w:jc w:val="both"/>
        <w:rPr>
          <w:rFonts w:ascii="David" w:hAnsi="David" w:cs="David"/>
          <w:sz w:val="24"/>
          <w:szCs w:val="24"/>
          <w:rtl/>
        </w:rPr>
      </w:pPr>
      <w:r w:rsidRPr="00114994">
        <w:rPr>
          <w:rFonts w:ascii="David" w:hAnsi="David" w:cs="David" w:hint="cs"/>
          <w:sz w:val="24"/>
          <w:szCs w:val="24"/>
          <w:rtl/>
        </w:rPr>
        <w:t>"</w:t>
      </w:r>
      <w:r w:rsidRPr="00114994">
        <w:rPr>
          <w:rFonts w:ascii="David" w:hAnsi="David" w:cs="David"/>
          <w:b/>
          <w:bCs/>
          <w:sz w:val="24"/>
          <w:szCs w:val="24"/>
          <w:rtl/>
        </w:rPr>
        <w:t xml:space="preserve">אכן, לנקיטתם של אמצעים לקידום פני הסכנה יש, כמובן, משמעות ראייתית. מקום שבו מתברר, כי הנאשם אכן נקט אמצעים כאלה, יקל על בית-המשפט לקבוע, לטובתו, כי פעל בקלות-דעת. אלא </w:t>
      </w:r>
      <w:r w:rsidRPr="00820933">
        <w:rPr>
          <w:rFonts w:ascii="David" w:hAnsi="David" w:cs="David"/>
          <w:b/>
          <w:bCs/>
          <w:sz w:val="24"/>
          <w:szCs w:val="24"/>
          <w:u w:val="single"/>
          <w:rtl/>
        </w:rPr>
        <w:t>שהנטל לשכנע את בית-המשפט, כי הנאשם פעל בפזיזות העולה כדי אדישות, רובץ על שכמה של התביעה. אם התביעה מוכיחה כי הנאשם היה מודע לסיכון, אך אינה מוכיחה כי פעל מתוך אי-אכפתיות לתוצאות התנהגותו, תתחייב המסקנה כי הנאשם אשם בפזיזות העולה כדי קלות-דעת, גם אם לא נקט אמצעים למניעת הסיכון</w:t>
      </w:r>
      <w:r w:rsidRPr="00114994">
        <w:rPr>
          <w:rFonts w:ascii="David" w:hAnsi="David" w:cs="David" w:hint="cs"/>
          <w:sz w:val="24"/>
          <w:szCs w:val="24"/>
          <w:rtl/>
        </w:rPr>
        <w:t>"</w:t>
      </w:r>
      <w:r w:rsidRPr="00114994">
        <w:rPr>
          <w:rFonts w:ascii="David" w:hAnsi="David" w:cs="David"/>
          <w:sz w:val="24"/>
          <w:szCs w:val="24"/>
          <w:rtl/>
        </w:rPr>
        <w:t>.</w:t>
      </w:r>
    </w:p>
    <w:p w:rsidR="00272CAC" w:rsidRDefault="00272CAC" w:rsidP="00272CAC">
      <w:pPr>
        <w:pStyle w:val="ac"/>
        <w:spacing w:after="0" w:line="360" w:lineRule="auto"/>
        <w:ind w:left="360"/>
        <w:jc w:val="both"/>
        <w:rPr>
          <w:rFonts w:ascii="David" w:hAnsi="David" w:cs="David"/>
          <w:sz w:val="24"/>
          <w:szCs w:val="24"/>
          <w:rtl/>
        </w:rPr>
      </w:pPr>
    </w:p>
    <w:p w:rsidR="00272CAC" w:rsidRPr="00114994" w:rsidRDefault="00272CAC" w:rsidP="00272CAC">
      <w:pPr>
        <w:pStyle w:val="ac"/>
        <w:spacing w:after="0" w:line="360" w:lineRule="auto"/>
        <w:ind w:left="360"/>
        <w:jc w:val="both"/>
        <w:rPr>
          <w:rFonts w:ascii="David" w:hAnsi="David" w:cs="David"/>
          <w:sz w:val="24"/>
          <w:szCs w:val="24"/>
          <w:rtl/>
        </w:rPr>
      </w:pPr>
      <w:r>
        <w:rPr>
          <w:rFonts w:ascii="David" w:hAnsi="David" w:cs="David" w:hint="cs"/>
          <w:sz w:val="24"/>
          <w:szCs w:val="24"/>
          <w:rtl/>
        </w:rPr>
        <w:t xml:space="preserve">יוער, כי בקשה לדיון נוסף נדחתה (דנ"פ 6939/98 </w:t>
      </w:r>
      <w:r w:rsidRPr="00221964">
        <w:rPr>
          <w:rFonts w:ascii="Miriam" w:hAnsi="Miriam" w:cs="Miriam"/>
          <w:sz w:val="24"/>
          <w:szCs w:val="24"/>
          <w:rtl/>
        </w:rPr>
        <w:t>מירו נ' מדינת ישראל</w:t>
      </w:r>
      <w:r>
        <w:rPr>
          <w:rFonts w:ascii="David" w:hAnsi="David" w:cs="David" w:hint="cs"/>
          <w:sz w:val="24"/>
          <w:szCs w:val="24"/>
          <w:rtl/>
        </w:rPr>
        <w:t xml:space="preserve"> (24.2.99)).   </w:t>
      </w:r>
    </w:p>
    <w:p w:rsidR="00272CAC" w:rsidRDefault="00272CAC" w:rsidP="00272CAC">
      <w:pPr>
        <w:pStyle w:val="BODYVERDICT"/>
        <w:rPr>
          <w:rFonts w:cs="Miriam"/>
          <w:sz w:val="24"/>
          <w:szCs w:val="24"/>
          <w:u w:val="single"/>
          <w:rtl/>
        </w:rPr>
      </w:pPr>
      <w:bookmarkStart w:id="2" w:name="Writer_Name"/>
      <w:bookmarkEnd w:id="2"/>
    </w:p>
    <w:p w:rsidR="00272CAC" w:rsidRDefault="00272CAC" w:rsidP="00272CAC">
      <w:pPr>
        <w:pStyle w:val="ac"/>
        <w:tabs>
          <w:tab w:val="left" w:pos="1218"/>
          <w:tab w:val="left" w:pos="3686"/>
        </w:tabs>
        <w:spacing w:after="0" w:line="360" w:lineRule="auto"/>
        <w:ind w:left="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ב</w:t>
      </w:r>
      <w:r w:rsidRPr="00221964">
        <w:rPr>
          <w:rFonts w:ascii="David" w:hAnsi="David" w:cs="David" w:hint="cs"/>
          <w:sz w:val="24"/>
          <w:szCs w:val="24"/>
          <w:rtl/>
        </w:rPr>
        <w:t xml:space="preserve">ע"פ 9112/07 </w:t>
      </w:r>
      <w:r w:rsidRPr="00221964">
        <w:rPr>
          <w:rFonts w:ascii="Miriam" w:hAnsi="Miriam" w:cs="Miriam"/>
          <w:sz w:val="24"/>
          <w:szCs w:val="24"/>
          <w:rtl/>
        </w:rPr>
        <w:t>חייפץ נ' מדינת ישראל</w:t>
      </w:r>
      <w:r w:rsidRPr="00221964">
        <w:rPr>
          <w:rFonts w:ascii="David" w:hAnsi="David" w:cs="David" w:hint="cs"/>
          <w:sz w:val="24"/>
          <w:szCs w:val="24"/>
          <w:rtl/>
        </w:rPr>
        <w:t xml:space="preserve"> (6.5.08)</w:t>
      </w:r>
      <w:r>
        <w:rPr>
          <w:rFonts w:ascii="David" w:hAnsi="David" w:cs="David" w:hint="cs"/>
          <w:sz w:val="24"/>
          <w:szCs w:val="24"/>
          <w:rtl/>
        </w:rPr>
        <w:t xml:space="preserve"> נדון העניין הבא:</w:t>
      </w:r>
      <w:r w:rsidRPr="00221964">
        <w:rPr>
          <w:rFonts w:ascii="David" w:hAnsi="David" w:cs="David" w:hint="cs"/>
          <w:sz w:val="24"/>
          <w:szCs w:val="24"/>
          <w:rtl/>
        </w:rPr>
        <w:t xml:space="preserve"> המערער והמנוח היו חברים וכן עבדו כמאבטחים בחברת שמירה. כל אחד מהם החזיק באקדח במסגרת עבודתו. ביום הא</w:t>
      </w:r>
      <w:r>
        <w:rPr>
          <w:rFonts w:ascii="David" w:hAnsi="David" w:cs="David" w:hint="cs"/>
          <w:sz w:val="24"/>
          <w:szCs w:val="24"/>
          <w:rtl/>
        </w:rPr>
        <w:t>י</w:t>
      </w:r>
      <w:r w:rsidRPr="00221964">
        <w:rPr>
          <w:rFonts w:ascii="David" w:hAnsi="David" w:cs="David" w:hint="cs"/>
          <w:sz w:val="24"/>
          <w:szCs w:val="24"/>
          <w:rtl/>
        </w:rPr>
        <w:t xml:space="preserve">רוע הגיעו השניים לבית המנוח, שם נכח אדם נוסף. השלושה שוחחו בנושא </w:t>
      </w:r>
      <w:r>
        <w:rPr>
          <w:rFonts w:ascii="David" w:hAnsi="David" w:cs="David" w:hint="cs"/>
          <w:sz w:val="24"/>
          <w:szCs w:val="24"/>
          <w:rtl/>
        </w:rPr>
        <w:t>בנוגע ל</w:t>
      </w:r>
      <w:r w:rsidRPr="00221964">
        <w:rPr>
          <w:rFonts w:ascii="David" w:hAnsi="David" w:cs="David" w:hint="cs"/>
          <w:sz w:val="24"/>
          <w:szCs w:val="24"/>
          <w:rtl/>
        </w:rPr>
        <w:t>מהירות שליפת הנשק</w:t>
      </w:r>
      <w:r>
        <w:rPr>
          <w:rFonts w:ascii="David" w:hAnsi="David" w:cs="David" w:hint="cs"/>
          <w:sz w:val="24"/>
          <w:szCs w:val="24"/>
          <w:rtl/>
        </w:rPr>
        <w:t>,</w:t>
      </w:r>
      <w:r w:rsidRPr="00221964">
        <w:rPr>
          <w:rFonts w:ascii="David" w:hAnsi="David" w:cs="David" w:hint="cs"/>
          <w:sz w:val="24"/>
          <w:szCs w:val="24"/>
          <w:rtl/>
        </w:rPr>
        <w:t xml:space="preserve"> והחליטו לערוך תחרות מי השולף המהיר ביותר. המערער והמנוח פרקו כל אחד את נשקו וניהלו "משחק" במסגרתו שלפו את האקדחים כיוונו אותם זה מול זה, דרכו אותם ולחצו על ההדק. לאחר מכן החזיר המערער את המחסנית לאקדחו והניחו על השולחן. כעבור זמן ולאחר שהמנוח החליף את נרתיק הנשק הוא ביקש לחזור ולקיים את ה"משחק". בשלב זה נטל המערער את נשקו בלי לפרוק אותו, דרך אותו, ירה לעבר המנוח והרגו. טענתו של המערער כי לא היה מודע להימצאות המחסנית (טען ששכח שטען אותה לאחר הסבב הראשון של ה"משחק") נדחתה בשים לב להלכה שנקבעה בעניין מירו לעיל; </w:t>
      </w:r>
      <w:r w:rsidRPr="00820933">
        <w:rPr>
          <w:rFonts w:ascii="David" w:hAnsi="David" w:cs="David" w:hint="cs"/>
          <w:sz w:val="24"/>
          <w:szCs w:val="24"/>
          <w:u w:val="single"/>
          <w:rtl/>
        </w:rPr>
        <w:t>ובאשר להלך נפשו באשר לתוצאת מעשיו, נקבע כ</w:t>
      </w:r>
      <w:r>
        <w:rPr>
          <w:rFonts w:ascii="David" w:hAnsi="David" w:cs="David" w:hint="cs"/>
          <w:sz w:val="24"/>
          <w:szCs w:val="24"/>
          <w:u w:val="single"/>
          <w:rtl/>
        </w:rPr>
        <w:t>ך</w:t>
      </w:r>
      <w:r w:rsidRPr="00221964">
        <w:rPr>
          <w:rFonts w:ascii="David" w:hAnsi="David" w:cs="David" w:hint="cs"/>
          <w:sz w:val="24"/>
          <w:szCs w:val="24"/>
          <w:rtl/>
        </w:rPr>
        <w:t xml:space="preserve">: </w:t>
      </w:r>
    </w:p>
    <w:p w:rsidR="00272CAC" w:rsidRPr="00820933" w:rsidRDefault="00272CAC" w:rsidP="00272CAC">
      <w:pPr>
        <w:pStyle w:val="ac"/>
        <w:tabs>
          <w:tab w:val="left" w:pos="3686"/>
        </w:tabs>
        <w:spacing w:after="0" w:line="360" w:lineRule="auto"/>
        <w:ind w:left="360"/>
        <w:jc w:val="both"/>
        <w:rPr>
          <w:rFonts w:ascii="David" w:hAnsi="David" w:cs="David"/>
          <w:sz w:val="24"/>
          <w:szCs w:val="24"/>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221964">
        <w:rPr>
          <w:rFonts w:ascii="David" w:hAnsi="David" w:cs="David" w:hint="cs"/>
          <w:b/>
          <w:bCs/>
          <w:sz w:val="24"/>
          <w:szCs w:val="24"/>
          <w:rtl/>
        </w:rPr>
        <w:t>"..עובר לירי בסיבוב השלישי, לא היתה מודעותו של המערער לטיב המעשה אותו עומד הוא לעשות פחותה ממודעותו של היורה באקדח מבלי שבדק אותו כלל קודם לכן. אדרבא, עוצמת הפזיזות שבקלות הדעת הגלומה במצב דברים זה, עולה על פני הדברים על פזיזותו של היורה באקדח מבלי שזה נבדק על ידו מלכתחילה. זאת, מתוך כך שאך זמן קצר ביותר קודם לכן הוא טען את האקדח מחדש במחסנית</w:t>
      </w:r>
      <w:r w:rsidRPr="00221964">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221964">
        <w:rPr>
          <w:rFonts w:ascii="David" w:hAnsi="David" w:cs="David" w:hint="cs"/>
          <w:sz w:val="24"/>
          <w:szCs w:val="24"/>
          <w:rtl/>
        </w:rPr>
        <w:t>ובהמשך:</w:t>
      </w:r>
      <w:r>
        <w:rPr>
          <w:rFonts w:ascii="David" w:hAnsi="David" w:cs="David" w:hint="cs"/>
          <w:b/>
          <w:bCs/>
          <w:sz w:val="24"/>
          <w:szCs w:val="24"/>
          <w:rtl/>
        </w:rPr>
        <w:t xml:space="preserve"> </w:t>
      </w:r>
      <w:r w:rsidRPr="00221964">
        <w:rPr>
          <w:rFonts w:ascii="David" w:hAnsi="David" w:cs="David" w:hint="cs"/>
          <w:b/>
          <w:bCs/>
          <w:sz w:val="24"/>
          <w:szCs w:val="24"/>
          <w:rtl/>
        </w:rPr>
        <w:t>"....</w:t>
      </w:r>
      <w:r w:rsidRPr="00820933">
        <w:rPr>
          <w:rFonts w:ascii="David" w:hAnsi="David" w:cs="David" w:hint="cs"/>
          <w:b/>
          <w:bCs/>
          <w:sz w:val="24"/>
          <w:szCs w:val="24"/>
          <w:u w:val="single"/>
          <w:rtl/>
        </w:rPr>
        <w:t>המערער גרם בפזיזות שבקלות דעת לאסון מחריד וכל כך מיותר</w:t>
      </w:r>
      <w:r w:rsidRPr="00221964">
        <w:rPr>
          <w:rFonts w:ascii="David" w:hAnsi="David" w:cs="David" w:hint="cs"/>
          <w:b/>
          <w:bCs/>
          <w:sz w:val="24"/>
          <w:szCs w:val="24"/>
          <w:rtl/>
        </w:rPr>
        <w:t>.."</w:t>
      </w:r>
      <w:r>
        <w:rPr>
          <w:rFonts w:ascii="David" w:hAnsi="David" w:cs="David" w:hint="cs"/>
          <w:b/>
          <w:bCs/>
          <w:sz w:val="24"/>
          <w:szCs w:val="24"/>
          <w:rtl/>
        </w:rPr>
        <w:t>.</w:t>
      </w:r>
      <w:r w:rsidRPr="00221964">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221964" w:rsidRDefault="00272CAC" w:rsidP="00272CAC">
      <w:pPr>
        <w:pStyle w:val="ac"/>
        <w:tabs>
          <w:tab w:val="left" w:pos="3686"/>
        </w:tabs>
        <w:spacing w:after="0" w:line="360" w:lineRule="auto"/>
        <w:ind w:left="360"/>
        <w:jc w:val="both"/>
        <w:rPr>
          <w:rFonts w:ascii="David" w:hAnsi="David" w:cs="David"/>
          <w:sz w:val="24"/>
          <w:szCs w:val="24"/>
          <w:rtl/>
        </w:rPr>
      </w:pPr>
      <w:r w:rsidRPr="00221964">
        <w:rPr>
          <w:rFonts w:ascii="David" w:hAnsi="David" w:cs="David" w:hint="cs"/>
          <w:sz w:val="24"/>
          <w:szCs w:val="24"/>
          <w:rtl/>
        </w:rPr>
        <w:t xml:space="preserve">לשלמות התמונה אציין כי המערער </w:t>
      </w:r>
      <w:r>
        <w:rPr>
          <w:rFonts w:ascii="David" w:hAnsi="David" w:cs="David" w:hint="cs"/>
          <w:sz w:val="24"/>
          <w:szCs w:val="24"/>
          <w:rtl/>
        </w:rPr>
        <w:t xml:space="preserve">(כמו גם ביתר המקרים שתוארו בפרק זה) </w:t>
      </w:r>
      <w:r w:rsidRPr="00221964">
        <w:rPr>
          <w:rFonts w:ascii="David" w:hAnsi="David" w:cs="David" w:hint="cs"/>
          <w:sz w:val="24"/>
          <w:szCs w:val="24"/>
          <w:rtl/>
        </w:rPr>
        <w:t xml:space="preserve">הועמד לדין והורשע בהריגה, ולכן הקביעה באם היה קל דעת או אדיש לתוצאות המעשה היה, בפועל, מעבר לנדרש, מה גם שמעיון בהכרעת הדין של הערכאה הדיונית עולה שזו היתה גם מלכתחילה טענת המאשימה, שכלל לא טענה לאדישות. </w:t>
      </w:r>
    </w:p>
    <w:p w:rsidR="00272CAC" w:rsidRDefault="00272CAC" w:rsidP="00272CAC">
      <w:pPr>
        <w:pStyle w:val="ac"/>
        <w:spacing w:after="0" w:line="360" w:lineRule="auto"/>
        <w:ind w:left="360"/>
        <w:jc w:val="both"/>
        <w:rPr>
          <w:rFonts w:ascii="David" w:hAnsi="David" w:cs="David"/>
          <w:sz w:val="24"/>
          <w:szCs w:val="24"/>
          <w:rtl/>
        </w:rPr>
      </w:pPr>
    </w:p>
    <w:p w:rsidR="00272CAC" w:rsidRPr="00221964" w:rsidRDefault="00272CAC" w:rsidP="00272CAC">
      <w:pPr>
        <w:pStyle w:val="ac"/>
        <w:tabs>
          <w:tab w:val="left" w:pos="1076"/>
          <w:tab w:val="left" w:pos="3686"/>
        </w:tabs>
        <w:spacing w:after="0" w:line="360" w:lineRule="auto"/>
        <w:ind w:left="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221964">
        <w:rPr>
          <w:rFonts w:ascii="David" w:hAnsi="David" w:cs="David" w:hint="cs"/>
          <w:sz w:val="24"/>
          <w:szCs w:val="24"/>
          <w:rtl/>
        </w:rPr>
        <w:t xml:space="preserve">בע"פ 10833/08 </w:t>
      </w:r>
      <w:r w:rsidRPr="004E700B">
        <w:rPr>
          <w:rFonts w:ascii="Miriam" w:hAnsi="Miriam" w:cs="Miriam"/>
          <w:sz w:val="24"/>
          <w:szCs w:val="24"/>
          <w:rtl/>
        </w:rPr>
        <w:t>מדינת ישראל נ' תומר אברהם</w:t>
      </w:r>
      <w:r w:rsidRPr="00221964">
        <w:rPr>
          <w:rFonts w:ascii="David" w:hAnsi="David" w:cs="David" w:hint="cs"/>
          <w:sz w:val="24"/>
          <w:szCs w:val="24"/>
          <w:rtl/>
        </w:rPr>
        <w:t xml:space="preserve"> (25.2.09) נדון עניינו של שוטר חובה במשמר הגבול. הלה פעל עם עוד מספר שוטרים לאיתור שוהים בלתי חוקיים בבית ביפו. בשלב מסוים לאחר שעיכב ואף היכה שני שוהים בלתי חוקיים הוא נותר לשמור עליהם, כשהם יושבים על הקרקע. או אז, הוא דרך את נשקו - רובה מסוג </w:t>
      </w:r>
      <w:r w:rsidRPr="00221964">
        <w:rPr>
          <w:rFonts w:ascii="David" w:hAnsi="David" w:cs="David"/>
          <w:sz w:val="24"/>
          <w:szCs w:val="24"/>
        </w:rPr>
        <w:t>M-16</w:t>
      </w:r>
      <w:r>
        <w:rPr>
          <w:rFonts w:ascii="David" w:hAnsi="David" w:cs="David" w:hint="cs"/>
          <w:sz w:val="24"/>
          <w:szCs w:val="24"/>
          <w:rtl/>
        </w:rPr>
        <w:t>,</w:t>
      </w:r>
      <w:r w:rsidRPr="00221964">
        <w:rPr>
          <w:rFonts w:ascii="David" w:hAnsi="David" w:cs="David" w:hint="cs"/>
          <w:sz w:val="24"/>
          <w:szCs w:val="24"/>
          <w:rtl/>
        </w:rPr>
        <w:t xml:space="preserve"> בכוונה לאיים ולהרתיע את השניים, ואז "בהיסח הדעת" לחץ תוך כדי דריכת הנשק על הדק הרובה, קליע נורה וגרם למות אחד השבחי"ם. הערכאה הדיונית קבעה כי המערער היה מודע לכלל הנסיבות ולאפשרות גרימת התוצאה; </w:t>
      </w:r>
      <w:r w:rsidRPr="00361444">
        <w:rPr>
          <w:rFonts w:ascii="David" w:hAnsi="David" w:cs="David" w:hint="cs"/>
          <w:sz w:val="24"/>
          <w:szCs w:val="24"/>
          <w:u w:val="single"/>
          <w:rtl/>
        </w:rPr>
        <w:t>ולעניין התוצאה קבע כי מדובר בקלות דעת והוא הורשע בעבירת הריגה</w:t>
      </w:r>
      <w:r w:rsidRPr="00221964">
        <w:rPr>
          <w:rFonts w:ascii="David" w:hAnsi="David" w:cs="David" w:hint="cs"/>
          <w:sz w:val="24"/>
          <w:szCs w:val="24"/>
          <w:rtl/>
        </w:rPr>
        <w:t xml:space="preserve">. </w:t>
      </w:r>
      <w:r>
        <w:rPr>
          <w:rFonts w:ascii="David" w:hAnsi="David" w:cs="David" w:hint="cs"/>
          <w:sz w:val="24"/>
          <w:szCs w:val="24"/>
          <w:rtl/>
        </w:rPr>
        <w:t xml:space="preserve">הוגש ערעור מצד הנאשם כנגד ההרשעה ואילו המדינה </w:t>
      </w:r>
      <w:r w:rsidRPr="00221964">
        <w:rPr>
          <w:rFonts w:ascii="David" w:hAnsi="David" w:cs="David" w:hint="cs"/>
          <w:sz w:val="24"/>
          <w:szCs w:val="24"/>
          <w:rtl/>
        </w:rPr>
        <w:t>ערערה על קולת העונש. בית המשפט העליון דחה את ערעורו של המערער על ההרשעה לעיל, ונקבע כך:</w:t>
      </w:r>
    </w:p>
    <w:p w:rsidR="00272CAC" w:rsidRPr="00221964" w:rsidRDefault="00272CAC" w:rsidP="00272CAC">
      <w:pPr>
        <w:pStyle w:val="ac"/>
        <w:tabs>
          <w:tab w:val="left" w:pos="3686"/>
        </w:tabs>
        <w:spacing w:after="0" w:line="360" w:lineRule="auto"/>
        <w:ind w:left="360"/>
        <w:jc w:val="both"/>
        <w:rPr>
          <w:rFonts w:ascii="David" w:hAnsi="David" w:cs="David"/>
          <w:sz w:val="24"/>
          <w:szCs w:val="24"/>
        </w:rPr>
      </w:pPr>
      <w:r w:rsidRPr="00221964">
        <w:rPr>
          <w:rFonts w:ascii="David" w:hAnsi="David" w:cs="David"/>
          <w:sz w:val="24"/>
          <w:szCs w:val="24"/>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221964">
        <w:rPr>
          <w:rFonts w:ascii="David" w:hAnsi="David" w:cs="David" w:hint="cs"/>
          <w:b/>
          <w:bCs/>
          <w:sz w:val="24"/>
          <w:szCs w:val="24"/>
          <w:rtl/>
        </w:rPr>
        <w:t xml:space="preserve">".. ומאחר ועל הכל מוסכם כי הוא לא התכוון לגרום למותו של המנוח, כל שנותר לקבוע הוא כי המערער נהג בקלות-דעת, היינו, בידיעה שכתוצאה ממעשהו (דריכת הנשק) ומחדלו (אי-בדיקת הנשק ונצירתו), עלול להיווצר ירי שיגרום למותו של אדם. </w:t>
      </w:r>
      <w:r w:rsidRPr="00361444">
        <w:rPr>
          <w:rFonts w:ascii="David" w:hAnsi="David" w:cs="David" w:hint="cs"/>
          <w:b/>
          <w:bCs/>
          <w:sz w:val="24"/>
          <w:szCs w:val="24"/>
          <w:u w:val="single"/>
          <w:rtl/>
        </w:rPr>
        <w:t>בנסיבות אלו הוא נטל על עצמו סיכון בלתי סביר, אותו קיווה למנוע, ולמרבה הדאבה תקווה זו נתבדתה</w:t>
      </w:r>
      <w:r w:rsidRPr="00221964">
        <w:rPr>
          <w:rFonts w:ascii="David" w:hAnsi="David" w:cs="David" w:hint="cs"/>
          <w:sz w:val="24"/>
          <w:szCs w:val="24"/>
          <w:rtl/>
        </w:rPr>
        <w:t>".</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1218"/>
          <w:tab w:val="left" w:pos="3686"/>
        </w:tabs>
        <w:spacing w:after="0" w:line="360" w:lineRule="auto"/>
        <w:ind w:left="360"/>
        <w:jc w:val="both"/>
        <w:rPr>
          <w:rFonts w:ascii="David" w:hAnsi="David" w:cs="David"/>
          <w:sz w:val="24"/>
          <w:szCs w:val="24"/>
        </w:rPr>
      </w:pPr>
      <w:r>
        <w:rPr>
          <w:rFonts w:ascii="David" w:hAnsi="David" w:cs="David" w:hint="cs"/>
          <w:sz w:val="24"/>
          <w:szCs w:val="24"/>
          <w:rtl/>
        </w:rPr>
        <w:t>(-)</w:t>
      </w:r>
      <w:r>
        <w:rPr>
          <w:rFonts w:ascii="David" w:hAnsi="David" w:cs="David"/>
          <w:sz w:val="24"/>
          <w:szCs w:val="24"/>
          <w:rtl/>
        </w:rPr>
        <w:tab/>
      </w:r>
      <w:r w:rsidRPr="00221964">
        <w:rPr>
          <w:rFonts w:ascii="David" w:hAnsi="David" w:cs="David" w:hint="cs"/>
          <w:sz w:val="24"/>
          <w:szCs w:val="24"/>
          <w:rtl/>
        </w:rPr>
        <w:t xml:space="preserve">בע 27/22 </w:t>
      </w:r>
      <w:r w:rsidRPr="00221964">
        <w:rPr>
          <w:rFonts w:ascii="Miriam" w:hAnsi="Miriam" w:cs="Miriam"/>
          <w:sz w:val="24"/>
          <w:szCs w:val="24"/>
          <w:rtl/>
        </w:rPr>
        <w:t xml:space="preserve">סמ"ר מזרחי נ' התצ"ר </w:t>
      </w:r>
      <w:r w:rsidRPr="00221964">
        <w:rPr>
          <w:rFonts w:ascii="David" w:hAnsi="David" w:cs="David" w:hint="cs"/>
          <w:sz w:val="24"/>
          <w:szCs w:val="24"/>
          <w:rtl/>
        </w:rPr>
        <w:t>(22.1.23) של בית הדין הצבאי לערעורים, נדון ע</w:t>
      </w:r>
      <w:r>
        <w:rPr>
          <w:rFonts w:ascii="David" w:hAnsi="David" w:cs="David" w:hint="cs"/>
          <w:sz w:val="24"/>
          <w:szCs w:val="24"/>
          <w:rtl/>
        </w:rPr>
        <w:t xml:space="preserve">רעורו </w:t>
      </w:r>
      <w:r w:rsidRPr="00221964">
        <w:rPr>
          <w:rFonts w:ascii="David" w:hAnsi="David" w:cs="David" w:hint="cs"/>
          <w:sz w:val="24"/>
          <w:szCs w:val="24"/>
          <w:rtl/>
        </w:rPr>
        <w:t xml:space="preserve">של </w:t>
      </w:r>
      <w:r>
        <w:rPr>
          <w:rFonts w:ascii="David" w:hAnsi="David" w:cs="David" w:hint="cs"/>
          <w:sz w:val="24"/>
          <w:szCs w:val="24"/>
          <w:rtl/>
        </w:rPr>
        <w:t xml:space="preserve">מי </w:t>
      </w:r>
      <w:r w:rsidRPr="00221964">
        <w:rPr>
          <w:rFonts w:ascii="David" w:hAnsi="David" w:cs="David" w:hint="cs"/>
          <w:sz w:val="24"/>
          <w:szCs w:val="24"/>
          <w:rtl/>
        </w:rPr>
        <w:t xml:space="preserve">ששירת כלוחם בחטיבת הנח"ל. ביום האירוע הוא נטל רובה מסוג רוגר, שלא הוסמך לעשות בו שימוש, </w:t>
      </w:r>
      <w:r>
        <w:rPr>
          <w:rFonts w:ascii="David" w:hAnsi="David" w:cs="David" w:hint="cs"/>
          <w:sz w:val="24"/>
          <w:szCs w:val="24"/>
          <w:rtl/>
        </w:rPr>
        <w:t xml:space="preserve">וביקש </w:t>
      </w:r>
      <w:r w:rsidRPr="00221964">
        <w:rPr>
          <w:rFonts w:ascii="David" w:hAnsi="David" w:cs="David" w:hint="cs"/>
          <w:sz w:val="24"/>
          <w:szCs w:val="24"/>
          <w:rtl/>
        </w:rPr>
        <w:t xml:space="preserve">לבחון את כוונת הרובה. המערער כיוון את הרובה לעבר גבעה סמוכה ולחץ על ההדק "בהיסח הדעת". כתוצאה מכך נורה כדור שהרג חייל אחד ביחידה. התברר בדיעבד כי </w:t>
      </w:r>
      <w:r w:rsidRPr="00221964">
        <w:rPr>
          <w:rFonts w:ascii="David" w:hAnsi="David" w:cs="David" w:hint="cs"/>
          <w:sz w:val="24"/>
          <w:szCs w:val="24"/>
          <w:rtl/>
        </w:rPr>
        <w:lastRenderedPageBreak/>
        <w:t>הרובה לא נפרק לאחר מטווח שהתקיים זמן מה לפני כן. המערער הורשע בערכאה הדיונית בהמתה בקלות דעת, לאחר שנקבע כי הוא היה מודע למעשיו ולאפשרות גרימת התוצאה הקטלנית, ופעל בקלות דעת ביחס לכך. ערעורו נדחה</w:t>
      </w:r>
      <w:r>
        <w:rPr>
          <w:rFonts w:ascii="David" w:hAnsi="David" w:cs="David" w:hint="cs"/>
          <w:sz w:val="24"/>
          <w:szCs w:val="24"/>
          <w:rtl/>
        </w:rPr>
        <w:t xml:space="preserve">, </w:t>
      </w:r>
      <w:r w:rsidRPr="00221964">
        <w:rPr>
          <w:rFonts w:ascii="David" w:hAnsi="David" w:cs="David" w:hint="cs"/>
          <w:sz w:val="24"/>
          <w:szCs w:val="24"/>
          <w:rtl/>
        </w:rPr>
        <w:t xml:space="preserve">וכך גם בקשת רשות ערעור שהוגשה לבית המשפט העליון (רע"פ 1510/23 </w:t>
      </w:r>
      <w:r w:rsidRPr="00221964">
        <w:rPr>
          <w:rFonts w:ascii="Miriam" w:hAnsi="Miriam" w:cs="Miriam"/>
          <w:sz w:val="24"/>
          <w:szCs w:val="24"/>
          <w:rtl/>
        </w:rPr>
        <w:t xml:space="preserve">מזרחי נ' בית הדין הצבאי לערעורים </w:t>
      </w:r>
      <w:r w:rsidRPr="00221964">
        <w:rPr>
          <w:rFonts w:ascii="David" w:hAnsi="David" w:cs="David" w:hint="cs"/>
          <w:sz w:val="24"/>
          <w:szCs w:val="24"/>
          <w:rtl/>
        </w:rPr>
        <w:t>(20.4.23)).</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sidRPr="0046037E">
        <w:rPr>
          <w:rFonts w:ascii="David" w:hAnsi="David" w:cs="David" w:hint="cs"/>
          <w:b/>
          <w:bCs/>
          <w:sz w:val="24"/>
          <w:szCs w:val="24"/>
          <w:rtl/>
        </w:rPr>
        <w:t>יישום הדין על עובדות המקרה</w:t>
      </w:r>
      <w:r>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b/>
          <w:bCs/>
          <w:sz w:val="24"/>
          <w:szCs w:val="24"/>
          <w:rtl/>
        </w:rPr>
      </w:pPr>
    </w:p>
    <w:p w:rsidR="00272CAC" w:rsidRPr="0021419F" w:rsidRDefault="00272CAC" w:rsidP="00272CAC">
      <w:pPr>
        <w:pStyle w:val="ac"/>
        <w:tabs>
          <w:tab w:val="left" w:pos="3686"/>
        </w:tabs>
        <w:spacing w:after="0" w:line="360" w:lineRule="auto"/>
        <w:ind w:left="360"/>
        <w:jc w:val="both"/>
        <w:rPr>
          <w:rFonts w:ascii="David" w:hAnsi="David" w:cs="David"/>
          <w:sz w:val="24"/>
          <w:szCs w:val="24"/>
          <w:u w:val="single"/>
          <w:rtl/>
        </w:rPr>
      </w:pPr>
      <w:r>
        <w:rPr>
          <w:rFonts w:ascii="David" w:hAnsi="David" w:cs="David" w:hint="cs"/>
          <w:sz w:val="24"/>
          <w:szCs w:val="24"/>
          <w:rtl/>
        </w:rPr>
        <w:t xml:space="preserve">בחינת כלל נתוני המקרה ושקילת טענות הצדדים הביאו אותי למסקנה כי המאשימה לא הרימה את נטל ההוכחה הנדרש בפלילים להוכיח את טענותיה; ובמלים אחרות, סבורני כי לא הוכח שהנאשם היה אדיש למותו של המנוח. </w:t>
      </w:r>
      <w:r w:rsidRPr="0021419F">
        <w:rPr>
          <w:rFonts w:ascii="David" w:hAnsi="David" w:cs="David" w:hint="cs"/>
          <w:sz w:val="24"/>
          <w:szCs w:val="24"/>
          <w:u w:val="single"/>
          <w:rtl/>
        </w:rPr>
        <w:t>במקרה דנן, סבורני שכל שהוכח הוא שהנאשם היה קל דעת לתוצאות מעשיו הקשים.</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21419F" w:rsidRDefault="00272CAC" w:rsidP="00272CAC">
      <w:pPr>
        <w:pStyle w:val="ac"/>
        <w:tabs>
          <w:tab w:val="left" w:pos="3686"/>
        </w:tabs>
        <w:spacing w:after="0" w:line="360" w:lineRule="auto"/>
        <w:ind w:left="360"/>
        <w:jc w:val="both"/>
        <w:rPr>
          <w:rFonts w:ascii="David" w:hAnsi="David" w:cs="David"/>
          <w:b/>
          <w:bCs/>
          <w:sz w:val="24"/>
          <w:szCs w:val="24"/>
          <w:rtl/>
        </w:rPr>
      </w:pPr>
      <w:r w:rsidRPr="0021419F">
        <w:rPr>
          <w:rFonts w:ascii="David" w:hAnsi="David" w:cs="David" w:hint="cs"/>
          <w:b/>
          <w:bCs/>
          <w:sz w:val="24"/>
          <w:szCs w:val="24"/>
          <w:rtl/>
        </w:rPr>
        <w:t>אנמק מסקנתי.</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sidRPr="0084378C">
        <w:rPr>
          <w:rFonts w:ascii="David" w:hAnsi="David" w:cs="David" w:hint="cs"/>
          <w:sz w:val="24"/>
          <w:szCs w:val="24"/>
          <w:rtl/>
        </w:rPr>
        <w:t xml:space="preserve">כפי שכבר הרחבתי לכל אורך הכרעת הדין, אין חולק אודות חומרת מעשיו הקשים של הנאשם. מדובר במי שביצע במודע פעולות מסכנות חיים, שכונו על ידו "משחק בנשק". עם זאת בכך אין די, והנתונים לעיל נוגעים בעיקר למודעותו של הנאשם לטיב מעשיו ולאפשרות גרימת מותו של המנוח. מודעות זו כפי שהורחב לעיל הוכחה, </w:t>
      </w:r>
      <w:r w:rsidRPr="0084378C">
        <w:rPr>
          <w:rFonts w:ascii="David" w:hAnsi="David" w:cs="David" w:hint="cs"/>
          <w:sz w:val="24"/>
          <w:szCs w:val="24"/>
          <w:u w:val="single"/>
          <w:rtl/>
        </w:rPr>
        <w:t>ונושאנו כעת נוגע לשאלה אחרת והיא -  האם הנאשם היה קל דעת באשר למות המנוח, או אדיש לתוצאה זו</w:t>
      </w:r>
      <w:r w:rsidRPr="0084378C">
        <w:rPr>
          <w:rFonts w:ascii="David" w:hAnsi="David" w:cs="David" w:hint="cs"/>
          <w:sz w:val="24"/>
          <w:szCs w:val="24"/>
          <w:rtl/>
        </w:rPr>
        <w:t>.</w:t>
      </w:r>
    </w:p>
    <w:p w:rsidR="00272CAC" w:rsidRPr="002D1702" w:rsidRDefault="00272CAC" w:rsidP="00272CAC">
      <w:pPr>
        <w:pStyle w:val="ac"/>
        <w:tabs>
          <w:tab w:val="left" w:pos="3686"/>
        </w:tabs>
        <w:spacing w:after="0" w:line="360" w:lineRule="auto"/>
        <w:ind w:left="360"/>
        <w:jc w:val="both"/>
        <w:rPr>
          <w:rFonts w:ascii="David" w:hAnsi="David" w:cs="David"/>
          <w:sz w:val="24"/>
          <w:szCs w:val="24"/>
        </w:rPr>
      </w:pPr>
    </w:p>
    <w:p w:rsidR="00272CAC" w:rsidRPr="002D1702" w:rsidRDefault="00272CAC" w:rsidP="00272CAC">
      <w:pPr>
        <w:pStyle w:val="ac"/>
        <w:numPr>
          <w:ilvl w:val="0"/>
          <w:numId w:val="14"/>
        </w:numPr>
        <w:tabs>
          <w:tab w:val="left" w:pos="3686"/>
        </w:tabs>
        <w:spacing w:after="0" w:line="360" w:lineRule="auto"/>
        <w:jc w:val="both"/>
        <w:rPr>
          <w:rFonts w:ascii="David" w:hAnsi="David" w:cs="David"/>
          <w:sz w:val="24"/>
          <w:szCs w:val="24"/>
          <w:rtl/>
        </w:rPr>
      </w:pPr>
      <w:r w:rsidRPr="002D1702">
        <w:rPr>
          <w:rFonts w:ascii="David" w:hAnsi="David" w:cs="David" w:hint="cs"/>
          <w:sz w:val="24"/>
          <w:szCs w:val="24"/>
          <w:rtl/>
        </w:rPr>
        <w:t xml:space="preserve">אבן הנגף העיקרית העומדת בפני המאשימה </w:t>
      </w:r>
      <w:r>
        <w:rPr>
          <w:rFonts w:ascii="David" w:hAnsi="David" w:cs="David" w:hint="cs"/>
          <w:sz w:val="24"/>
          <w:szCs w:val="24"/>
          <w:rtl/>
        </w:rPr>
        <w:t xml:space="preserve">בהוכחת טענתה כי הנאשם היה אדיש למות המנוח, </w:t>
      </w:r>
      <w:r w:rsidRPr="002D1702">
        <w:rPr>
          <w:rFonts w:ascii="David" w:hAnsi="David" w:cs="David" w:hint="cs"/>
          <w:sz w:val="24"/>
          <w:szCs w:val="24"/>
          <w:rtl/>
        </w:rPr>
        <w:t>היא החלטתה להסתמך על דברי הנאשם למדובב ולפיהם כחלק מסדרת הפעולות שביצע הוא לחץ על תפס המחסנית כדי להוציא את המחסנית כך שלא תגרוף כדור לבית הבליעה, ובכך, לשיטתו, הוא "נטרל" את הסכנה למנוח. הנאשם אמר למדובב, בין היתר, ש"</w:t>
      </w:r>
      <w:r w:rsidRPr="002D1702">
        <w:rPr>
          <w:rFonts w:ascii="David" w:hAnsi="David" w:cs="David" w:hint="cs"/>
          <w:b/>
          <w:bCs/>
          <w:sz w:val="24"/>
          <w:szCs w:val="24"/>
          <w:rtl/>
        </w:rPr>
        <w:t>.. הוצאתי מחסנית, דרכתי, במחסנית היה לי ת'רווח הזה גררה כדור. ... לא ידעתי שגרר כדור ..</w:t>
      </w:r>
      <w:r w:rsidRPr="002D1702">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ציינתי לעיל כי חרף העובדה שככל הנראה תיאור עובדתי זה של הנאשם לא התרחש בפועל, לא מן הנמנע כי אלה הדברים שזכורים לנאשם; וכן ציינתי שנוכח מהירות הפעולות שביצע, לא מן הנמנע שזו היתה כוונתו, גם אם לא יצאה לפועל.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651B59" w:rsidRDefault="00272CAC" w:rsidP="00272CAC">
      <w:pPr>
        <w:pStyle w:val="ac"/>
        <w:tabs>
          <w:tab w:val="left" w:pos="3686"/>
        </w:tabs>
        <w:spacing w:after="0" w:line="360" w:lineRule="auto"/>
        <w:ind w:left="360"/>
        <w:jc w:val="both"/>
        <w:rPr>
          <w:rFonts w:ascii="David" w:hAnsi="David" w:cs="David"/>
          <w:b/>
          <w:bCs/>
          <w:sz w:val="24"/>
          <w:szCs w:val="24"/>
          <w:rtl/>
        </w:rPr>
      </w:pPr>
      <w:r>
        <w:rPr>
          <w:rFonts w:ascii="David" w:hAnsi="David" w:cs="David" w:hint="cs"/>
          <w:sz w:val="24"/>
          <w:szCs w:val="24"/>
          <w:rtl/>
        </w:rPr>
        <w:t>כך או כך, משזו היתה טענת המאשימה שבאה לידי ביטוי בכתב האישום ("</w:t>
      </w:r>
      <w:r w:rsidRPr="00C35F56">
        <w:rPr>
          <w:rFonts w:ascii="David" w:hAnsi="David" w:cs="David" w:hint="cs"/>
          <w:b/>
          <w:bCs/>
          <w:sz w:val="24"/>
          <w:szCs w:val="24"/>
          <w:rtl/>
        </w:rPr>
        <w:t>הנאשם לחץ על תפס המחסנית, הוציאה מעט ממקומה, בניסיון שכך לא ייגרף כדור לבית הבליעה, ומיד ד</w:t>
      </w:r>
      <w:r w:rsidRPr="002D1702">
        <w:rPr>
          <w:rFonts w:ascii="David" w:hAnsi="David" w:cs="David" w:hint="cs"/>
          <w:b/>
          <w:bCs/>
          <w:sz w:val="24"/>
          <w:szCs w:val="24"/>
          <w:rtl/>
        </w:rPr>
        <w:t>רך את האקדח.."</w:t>
      </w:r>
      <w:r w:rsidRPr="002D1702">
        <w:rPr>
          <w:rFonts w:ascii="David" w:hAnsi="David" w:cs="David" w:hint="cs"/>
          <w:sz w:val="24"/>
          <w:szCs w:val="24"/>
          <w:rtl/>
        </w:rPr>
        <w:t xml:space="preserve">), לא אניח הנחות לחומרת הנאשם בהקשר זה. במילים אחרות, הדיון אודות </w:t>
      </w:r>
      <w:r w:rsidRPr="002D1702">
        <w:rPr>
          <w:rFonts w:ascii="David" w:hAnsi="David" w:cs="David" w:hint="cs"/>
          <w:sz w:val="24"/>
          <w:szCs w:val="24"/>
          <w:u w:val="single"/>
          <w:rtl/>
        </w:rPr>
        <w:t>הראיות</w:t>
      </w:r>
      <w:r w:rsidRPr="002D1702">
        <w:rPr>
          <w:rFonts w:ascii="David" w:hAnsi="David" w:cs="David" w:hint="cs"/>
          <w:sz w:val="24"/>
          <w:szCs w:val="24"/>
          <w:rtl/>
        </w:rPr>
        <w:t xml:space="preserve"> </w:t>
      </w:r>
      <w:r w:rsidRPr="002D1702">
        <w:rPr>
          <w:rFonts w:ascii="David" w:hAnsi="David" w:cs="David" w:hint="cs"/>
          <w:sz w:val="24"/>
          <w:szCs w:val="24"/>
          <w:rtl/>
        </w:rPr>
        <w:lastRenderedPageBreak/>
        <w:t xml:space="preserve">אודות הלך מחשבתו של הנאשם מתייתר במידה רבה שכן המאשימה היא זו טענה בכתב האישום כי הנאשם </w:t>
      </w:r>
      <w:r w:rsidRPr="002D1702">
        <w:rPr>
          <w:rFonts w:ascii="David" w:hAnsi="David" w:cs="David" w:hint="cs"/>
          <w:sz w:val="24"/>
          <w:szCs w:val="24"/>
          <w:u w:val="single"/>
          <w:rtl/>
        </w:rPr>
        <w:t>האמין</w:t>
      </w:r>
      <w:r w:rsidRPr="002D1702">
        <w:rPr>
          <w:rFonts w:ascii="David" w:hAnsi="David" w:cs="David" w:hint="cs"/>
          <w:sz w:val="24"/>
          <w:szCs w:val="24"/>
          <w:rtl/>
        </w:rPr>
        <w:t xml:space="preserve"> שפעולותיו לא יובילו לירי ("</w:t>
      </w:r>
      <w:r w:rsidRPr="002D1702">
        <w:rPr>
          <w:rFonts w:ascii="David" w:hAnsi="David" w:cs="David" w:hint="cs"/>
          <w:b/>
          <w:bCs/>
          <w:sz w:val="24"/>
          <w:szCs w:val="24"/>
          <w:rtl/>
        </w:rPr>
        <w:t xml:space="preserve">הנאשם לחץ על תפס המחסנית, הוציאה מעט ממקומה, </w:t>
      </w:r>
      <w:r w:rsidRPr="002D1702">
        <w:rPr>
          <w:rFonts w:ascii="David" w:hAnsi="David" w:cs="David" w:hint="cs"/>
          <w:b/>
          <w:bCs/>
          <w:sz w:val="24"/>
          <w:szCs w:val="24"/>
          <w:u w:val="single"/>
          <w:rtl/>
        </w:rPr>
        <w:t>בניסיון</w:t>
      </w:r>
      <w:r w:rsidRPr="002D1702">
        <w:rPr>
          <w:rFonts w:ascii="David" w:hAnsi="David" w:cs="David" w:hint="cs"/>
          <w:b/>
          <w:bCs/>
          <w:sz w:val="24"/>
          <w:szCs w:val="24"/>
          <w:rtl/>
        </w:rPr>
        <w:t xml:space="preserve"> שכך לא ייגרף כדור לבית הבליעה, ומיד דרך את האקדח.."</w:t>
      </w:r>
      <w:r w:rsidRPr="002D1702">
        <w:rPr>
          <w:rFonts w:ascii="David" w:hAnsi="David" w:cs="David" w:hint="cs"/>
          <w:sz w:val="24"/>
          <w:szCs w:val="24"/>
          <w:rtl/>
        </w:rPr>
        <w:t>). הניסיון לו טוענת המאשימה מתייחס למטרה ול</w:t>
      </w:r>
      <w:r w:rsidRPr="002D1702">
        <w:rPr>
          <w:rFonts w:ascii="David" w:hAnsi="David" w:cs="David" w:hint="cs"/>
          <w:sz w:val="24"/>
          <w:szCs w:val="24"/>
          <w:u w:val="single"/>
          <w:rtl/>
        </w:rPr>
        <w:t>תקווה</w:t>
      </w:r>
      <w:r w:rsidRPr="002D1702">
        <w:rPr>
          <w:rFonts w:ascii="David" w:hAnsi="David" w:cs="David" w:hint="cs"/>
          <w:sz w:val="24"/>
          <w:szCs w:val="24"/>
          <w:rtl/>
        </w:rPr>
        <w:t xml:space="preserve"> עליה נסובה הגדרתה של קלות הדעת.</w:t>
      </w:r>
    </w:p>
    <w:p w:rsidR="00272CAC" w:rsidRDefault="00272CAC" w:rsidP="00272CAC">
      <w:pPr>
        <w:spacing w:line="360" w:lineRule="auto"/>
        <w:ind w:left="1440" w:hanging="1080"/>
        <w:jc w:val="both"/>
        <w:rPr>
          <w:rFonts w:ascii="David" w:hAnsi="David"/>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משמעות הדברים לענייננו, היא כי חרף העובדה שהנאשם נטל סיכון לחיי המנוח במעשיו שתוארו לעיל, </w:t>
      </w:r>
      <w:r w:rsidRPr="0021419F">
        <w:rPr>
          <w:rFonts w:ascii="David" w:hAnsi="David" w:cs="David" w:hint="cs"/>
          <w:sz w:val="24"/>
          <w:szCs w:val="24"/>
          <w:u w:val="single"/>
          <w:rtl/>
        </w:rPr>
        <w:t>היתה לו תקווה שמותו של המנוח לא יתרחש, ולכל הפחות מתקיים בנדון ספק סביר</w:t>
      </w:r>
      <w:r>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7E3363">
        <w:rPr>
          <w:rFonts w:ascii="David" w:hAnsi="David" w:cs="David" w:hint="cs"/>
          <w:b/>
          <w:bCs/>
          <w:sz w:val="24"/>
          <w:szCs w:val="24"/>
          <w:u w:val="single"/>
          <w:rtl/>
        </w:rPr>
        <w:t>מדובר בפעולה אקטיבית שהנאשם ביצע (וזו כאמור הנחתי בדיוננו כעת), ומשום שהוכח שלא ניתן לגרוף כדור לבית הבליעה כאשר המחסנית אינה תפוסה בתפס המחסנית, מדובר ב</w:t>
      </w:r>
      <w:r>
        <w:rPr>
          <w:rFonts w:ascii="David" w:hAnsi="David" w:cs="David" w:hint="cs"/>
          <w:b/>
          <w:bCs/>
          <w:sz w:val="24"/>
          <w:szCs w:val="24"/>
          <w:u w:val="single"/>
          <w:rtl/>
        </w:rPr>
        <w:t xml:space="preserve">תקווה </w:t>
      </w:r>
      <w:r w:rsidRPr="007E3363">
        <w:rPr>
          <w:rFonts w:ascii="David" w:hAnsi="David" w:cs="David" w:hint="cs"/>
          <w:b/>
          <w:bCs/>
          <w:sz w:val="24"/>
          <w:szCs w:val="24"/>
          <w:u w:val="single"/>
          <w:rtl/>
        </w:rPr>
        <w:t xml:space="preserve"> שהיא בעלת אחיזה במציאות ומעוגנת מבחינה עובדתית</w:t>
      </w:r>
      <w:r>
        <w:rPr>
          <w:rFonts w:ascii="David" w:hAnsi="David" w:cs="David" w:hint="cs"/>
          <w:sz w:val="24"/>
          <w:szCs w:val="24"/>
          <w:rtl/>
        </w:rPr>
        <w:t>. ובמלים אחרות, אין מדובר בתקווה הבנויה, בהתאם לדברים שצוינו על פרופ' פלר, "</w:t>
      </w:r>
      <w:r w:rsidRPr="00EC12E3">
        <w:rPr>
          <w:rFonts w:ascii="David" w:hAnsi="David" w:cs="David"/>
          <w:b/>
          <w:bCs/>
          <w:sz w:val="24"/>
          <w:szCs w:val="24"/>
          <w:rtl/>
        </w:rPr>
        <w:t>על מקריות, מזלות או ניסים</w:t>
      </w:r>
      <w:r w:rsidRPr="00EC12E3">
        <w:rPr>
          <w:rFonts w:ascii="David" w:hAnsi="David" w:cs="David"/>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חיזוק מסוים לנימוק לעיל הוא אמירתו של הנאשם למדובב ולפיה :</w:t>
      </w:r>
      <w:r w:rsidRPr="00CA43BF">
        <w:rPr>
          <w:rFonts w:ascii="David" w:hAnsi="David" w:cs="David" w:hint="cs"/>
          <w:sz w:val="24"/>
          <w:szCs w:val="24"/>
          <w:rtl/>
        </w:rPr>
        <w:t>"</w:t>
      </w:r>
      <w:r w:rsidRPr="0021419F">
        <w:rPr>
          <w:rFonts w:ascii="David" w:hAnsi="David" w:cs="David" w:hint="cs"/>
          <w:b/>
          <w:bCs/>
          <w:sz w:val="24"/>
          <w:szCs w:val="24"/>
          <w:rtl/>
        </w:rPr>
        <w:t>לא לא חשבתי שזה יפגע בו</w:t>
      </w:r>
      <w:r>
        <w:rPr>
          <w:rFonts w:ascii="David" w:hAnsi="David" w:cs="David" w:hint="cs"/>
          <w:sz w:val="24"/>
          <w:szCs w:val="24"/>
          <w:rtl/>
        </w:rPr>
        <w:t xml:space="preserve">". אכן, אין הכרח לקבל את כל דבריו של הנאשם למדובב כאמת מוחלטת, רחוק מכך, אך עדיין יש לתת להתבטאות זו משקל לטובתו בהקשר שנדון כעת, בהשתלבה עם יתר הנתונים.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Pr>
          <w:rFonts w:ascii="David" w:hAnsi="David" w:cs="David" w:hint="cs"/>
          <w:sz w:val="24"/>
          <w:szCs w:val="24"/>
          <w:rtl/>
        </w:rPr>
        <w:t xml:space="preserve">ובהמשך לאמור לעיל, אני מתקשה עד מאוד לקבל את טענת המאשימה כי לנאשם "לא היה אכפת" באם המנוח ימות. התייחסתי לעיל במספר מקומות, הגם שבקצרה, לקווי אופיו ואישיותו של הנאשם. התייחסות זו לא היתה חיובית לשון המעטה. עם זאת, קיים פער בין עמדתי זו לבין המסקנה (הקיצונית ושאינה עולה מהראיות במקרה דנן) כי הנאשם היה אדיש למות המנוח ו"לא היה אכפת לו" באם ימות. </w:t>
      </w:r>
    </w:p>
    <w:p w:rsidR="00272CAC" w:rsidRPr="0058491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הוכח כי הנאשם והמנוח, מעבר לכך שהתגוררו באותו חדר, היו חברים. לא רק הנאשם העיד על כך, אלא הדברים עלו מעדויות כל חבריהם ליחידה (ר' לצורך הדוגמה, </w:t>
      </w:r>
      <w:r w:rsidRPr="00361444">
        <w:rPr>
          <w:rFonts w:ascii="David" w:hAnsi="David" w:cs="David" w:hint="cs"/>
          <w:sz w:val="24"/>
          <w:szCs w:val="24"/>
          <w:rtl/>
        </w:rPr>
        <w:t xml:space="preserve">הודעתו של חביב נששיבי </w:t>
      </w:r>
      <w:r>
        <w:rPr>
          <w:rFonts w:ascii="David" w:hAnsi="David" w:cs="David" w:hint="cs"/>
          <w:sz w:val="24"/>
          <w:szCs w:val="24"/>
          <w:rtl/>
        </w:rPr>
        <w:t xml:space="preserve">ת/145 והודעתה של </w:t>
      </w:r>
      <w:r w:rsidRPr="00361444">
        <w:rPr>
          <w:rFonts w:ascii="David" w:hAnsi="David" w:cs="David" w:hint="cs"/>
          <w:sz w:val="24"/>
          <w:szCs w:val="24"/>
          <w:rtl/>
        </w:rPr>
        <w:t>ענבל זאוי</w:t>
      </w:r>
      <w:r>
        <w:rPr>
          <w:rFonts w:ascii="David" w:hAnsi="David" w:cs="David" w:hint="cs"/>
          <w:sz w:val="24"/>
          <w:szCs w:val="24"/>
          <w:rtl/>
        </w:rPr>
        <w:t xml:space="preserve"> ת/146א').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משכך, טענת המאשימה לאי אכפתיות מצד הנאשם באשר למות המנוח מחייבת, לכל הפחות, הבאת ראיות ממשיות וכבדות משקל לחובתו של הנאשם, ואלה לא הובאו.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נתתי דעתי בהקשר זה לטענת המאשימה (עמ' 154-155 לסיכומיה), כי אין לייחס משקל רב לחברותם של הנאשם והמנוח, ולחברותו של הנאשם באופן כללי עם יתר השוטרים ביחידתו, שכן "חברותו" של הנאשם עם חבריו ליחידה לא מנעה ממנו לבצע כנגד חלקם פעולות בנשק, לתקוף </w:t>
      </w:r>
      <w:r>
        <w:rPr>
          <w:rFonts w:ascii="David" w:hAnsi="David" w:cs="David" w:hint="cs"/>
          <w:sz w:val="24"/>
          <w:szCs w:val="24"/>
          <w:rtl/>
        </w:rPr>
        <w:lastRenderedPageBreak/>
        <w:t xml:space="preserve">אותם ואף להתאכזר אל חלק מהם. לכן, טענה המאשימה, כי החברות שהיתה בין הנאשם למנוח אינה שוללת את המסקנה כי הנאשם היה אדיש למות המנוח. איני יכול לקבל טיעון זה </w:t>
      </w:r>
      <w:r>
        <w:rPr>
          <w:rFonts w:ascii="David" w:hAnsi="David" w:cs="David"/>
          <w:sz w:val="24"/>
          <w:szCs w:val="24"/>
          <w:rtl/>
        </w:rPr>
        <w:t>–</w:t>
      </w:r>
      <w:r>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58491C">
        <w:rPr>
          <w:rFonts w:ascii="David" w:hAnsi="David" w:cs="David" w:hint="cs"/>
          <w:sz w:val="24"/>
          <w:szCs w:val="24"/>
          <w:u w:val="single"/>
          <w:rtl/>
        </w:rPr>
        <w:t>ראשית</w:t>
      </w:r>
      <w:r>
        <w:rPr>
          <w:rFonts w:ascii="David" w:hAnsi="David" w:cs="David" w:hint="cs"/>
          <w:sz w:val="24"/>
          <w:szCs w:val="24"/>
          <w:rtl/>
        </w:rPr>
        <w:t xml:space="preserve">, הוכח שהנאשם והמנוח היו חברי אמת ולא רק חברים באותה יחידה. זאת בניגוד ל"חברותו" עם חלק מהאחרים שהוזכרו בכתב האישום ושהיתה חברות רק מתוקף שירותם המשותף ולא מעבר לכך;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58491C">
        <w:rPr>
          <w:rFonts w:ascii="David" w:hAnsi="David" w:cs="David" w:hint="cs"/>
          <w:sz w:val="24"/>
          <w:szCs w:val="24"/>
          <w:u w:val="single"/>
          <w:rtl/>
        </w:rPr>
        <w:t>שנית</w:t>
      </w:r>
      <w:r>
        <w:rPr>
          <w:rFonts w:ascii="David" w:hAnsi="David" w:cs="David" w:hint="cs"/>
          <w:sz w:val="24"/>
          <w:szCs w:val="24"/>
          <w:rtl/>
        </w:rPr>
        <w:t xml:space="preserve">, העובדה שהנאשם תקף ואף התאכזר כלפי חלק מ"חבריו" ליחידה אינה אומרת בהכרח שהוא היה אדיש </w:t>
      </w:r>
      <w:r w:rsidRPr="007E3363">
        <w:rPr>
          <w:rFonts w:ascii="David" w:hAnsi="David" w:cs="David" w:hint="cs"/>
          <w:sz w:val="24"/>
          <w:szCs w:val="24"/>
          <w:u w:val="single"/>
          <w:rtl/>
        </w:rPr>
        <w:t>ל</w:t>
      </w:r>
      <w:r>
        <w:rPr>
          <w:rFonts w:ascii="David" w:hAnsi="David" w:cs="David" w:hint="cs"/>
          <w:sz w:val="24"/>
          <w:szCs w:val="24"/>
          <w:u w:val="single"/>
          <w:rtl/>
        </w:rPr>
        <w:t xml:space="preserve">אפשרות </w:t>
      </w:r>
      <w:r w:rsidRPr="007E3363">
        <w:rPr>
          <w:rFonts w:ascii="David" w:hAnsi="David" w:cs="David" w:hint="cs"/>
          <w:sz w:val="24"/>
          <w:szCs w:val="24"/>
          <w:u w:val="single"/>
          <w:rtl/>
        </w:rPr>
        <w:t>מותם</w:t>
      </w:r>
      <w:r>
        <w:rPr>
          <w:rFonts w:ascii="David" w:hAnsi="David" w:cs="David" w:hint="cs"/>
          <w:sz w:val="24"/>
          <w:szCs w:val="24"/>
          <w:rtl/>
        </w:rPr>
        <w:t xml:space="preserve"> באותם אירועים;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2D1702">
        <w:rPr>
          <w:rFonts w:ascii="David" w:hAnsi="David" w:cs="David" w:hint="cs"/>
          <w:sz w:val="24"/>
          <w:szCs w:val="24"/>
          <w:u w:val="single"/>
          <w:rtl/>
        </w:rPr>
        <w:t>שלישית</w:t>
      </w:r>
      <w:r>
        <w:rPr>
          <w:rFonts w:ascii="David" w:hAnsi="David" w:cs="David" w:hint="cs"/>
          <w:sz w:val="24"/>
          <w:szCs w:val="24"/>
          <w:rtl/>
        </w:rPr>
        <w:t xml:space="preserve">, המאשימה הפנתה למצבים בהם גם כאשר מתקיימים יחסי אהבה מתרחשים מקרי רצח, אך לכך אשיב כי באותם מקרים, לרוב, לצד ה"אהבה" קיימים גם יחסים של שנאה, קנאה או שיקולי "כבוד", מה שלא מתקיים בענייננו ולו משום שלא הובאו בהקשר זה ראיות של ממש.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7E3363" w:rsidRDefault="00272CAC" w:rsidP="00272CAC">
      <w:pPr>
        <w:pStyle w:val="ac"/>
        <w:numPr>
          <w:ilvl w:val="0"/>
          <w:numId w:val="14"/>
        </w:numPr>
        <w:tabs>
          <w:tab w:val="left" w:pos="3686"/>
        </w:tabs>
        <w:spacing w:after="0" w:line="360" w:lineRule="auto"/>
        <w:jc w:val="both"/>
        <w:rPr>
          <w:rFonts w:ascii="David" w:hAnsi="David" w:cs="David"/>
          <w:sz w:val="24"/>
          <w:szCs w:val="24"/>
          <w:rtl/>
        </w:rPr>
      </w:pPr>
      <w:r w:rsidRPr="007E3363">
        <w:rPr>
          <w:rFonts w:ascii="David" w:hAnsi="David" w:cs="David" w:hint="cs"/>
          <w:sz w:val="24"/>
          <w:szCs w:val="24"/>
          <w:rtl/>
        </w:rPr>
        <w:t xml:space="preserve">המאשימה העלתה טענה נוספת </w:t>
      </w:r>
      <w:r>
        <w:rPr>
          <w:rFonts w:ascii="David" w:hAnsi="David" w:cs="David" w:hint="cs"/>
          <w:sz w:val="24"/>
          <w:szCs w:val="24"/>
          <w:rtl/>
        </w:rPr>
        <w:t xml:space="preserve">והיא ביססה אותה </w:t>
      </w:r>
      <w:r w:rsidRPr="007E3363">
        <w:rPr>
          <w:rFonts w:ascii="David" w:hAnsi="David" w:cs="David" w:hint="cs"/>
          <w:sz w:val="24"/>
          <w:szCs w:val="24"/>
          <w:rtl/>
        </w:rPr>
        <w:t xml:space="preserve">על המקרים הרבים בהם הנאשם "שיחק" בנשק ונקט בפעולות מסכנות חיים באמצעות הנשק כלפי שוטרים אחרים ביחידתו. מעשים אלה פורטו באישום 2 והנאשם כאמור הודה במיוחס לו. כך, במהלך תקופה של כ 8 חודשים בלבד, הנאשם כיוון את אקדחו מספר פעמים לעבר חבריו, לעתים כאשר הנשק ללא מחסנית ואף נקר אותו; לעתים כאשר הנשק טעון במחסנית; ולא רק זאת, אלא לעתים הנאשם כיוון את הנשק לעבר חבריו ואף דרך אותו (ר' המקרים שבוצעו כלפי נסיב ואור).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המאשימה טענה בהתבסס על המקרים לעיל, כי הם מוכיחים שהנאשם התגרה בגורל (גורלו של המנוח), עד שאתרע מזלו של המנוח, והמזל שעמד לצד הנאשם אזל עת שהמנוח היה זה שעמד אל מול קנה אקדחו של הנאשם. אם לא די בכך בזו הפעם "עלה הנאשם מדרגה", בכך שהוא גם דרך את הנשק וגם נקר אותו ובכך ירה למוות במנוח.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ואולם, וזה הדבר החשוב לענייננו, </w:t>
      </w:r>
      <w:r w:rsidRPr="00BB7B8F">
        <w:rPr>
          <w:rFonts w:ascii="David" w:hAnsi="David" w:cs="David" w:hint="cs"/>
          <w:b/>
          <w:bCs/>
          <w:sz w:val="24"/>
          <w:szCs w:val="24"/>
          <w:rtl/>
        </w:rPr>
        <w:t>הצד השני של המטבע</w:t>
      </w:r>
      <w:r>
        <w:rPr>
          <w:rFonts w:ascii="David" w:hAnsi="David" w:cs="David" w:hint="cs"/>
          <w:sz w:val="24"/>
          <w:szCs w:val="24"/>
          <w:rtl/>
        </w:rPr>
        <w:t xml:space="preserve"> הוא כי </w:t>
      </w:r>
      <w:r w:rsidRPr="0084378C">
        <w:rPr>
          <w:rFonts w:ascii="David" w:hAnsi="David" w:cs="David" w:hint="cs"/>
          <w:sz w:val="24"/>
          <w:szCs w:val="24"/>
          <w:u w:val="single"/>
          <w:rtl/>
        </w:rPr>
        <w:t xml:space="preserve">דווקא אותם מקרים שהסתיימו ללא פגע מחלישים את טענת המאשימה </w:t>
      </w:r>
      <w:r>
        <w:rPr>
          <w:rFonts w:ascii="David" w:hAnsi="David" w:cs="David" w:hint="cs"/>
          <w:sz w:val="24"/>
          <w:szCs w:val="24"/>
          <w:u w:val="single"/>
          <w:rtl/>
        </w:rPr>
        <w:t xml:space="preserve">ולפיה </w:t>
      </w:r>
      <w:r w:rsidRPr="0084378C">
        <w:rPr>
          <w:rFonts w:ascii="David" w:hAnsi="David" w:cs="David" w:hint="cs"/>
          <w:sz w:val="24"/>
          <w:szCs w:val="24"/>
          <w:u w:val="single"/>
          <w:rtl/>
        </w:rPr>
        <w:t>הנאשם היה "לא אכפתי" לתוצאות מעשיו</w:t>
      </w:r>
      <w:r>
        <w:rPr>
          <w:rFonts w:ascii="David" w:hAnsi="David" w:cs="David" w:hint="cs"/>
          <w:sz w:val="24"/>
          <w:szCs w:val="24"/>
          <w:rtl/>
        </w:rPr>
        <w:t xml:space="preserve">. במילים אחרות, מקרים אלה שהסתיימו ב"הצלחה" מבחינת הנאשם, ייתכן והובילו אותו למסקנה כי הפעולות שהוא מבצע ל"נטרול" הסיכון אכן יעילות ולכן אין מניעה, מבחינתו, בהמשכן.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Pr>
          <w:rFonts w:ascii="David" w:hAnsi="David" w:cs="David" w:hint="cs"/>
          <w:sz w:val="24"/>
          <w:szCs w:val="24"/>
          <w:rtl/>
        </w:rPr>
        <w:lastRenderedPageBreak/>
        <w:t xml:space="preserve">המאשימה המשיכה וטענה כי מעשיו של הנאשם סמוך לאחר האירוע (הנחת האקדח על חזהו של המנוח והטענות הכוזבות שטען בפני חבריו) מעידות על הלך נפשו הלא האכפתי גם בזמן האירוע.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סבורני, כי מסקנת המאשימה בהקשר זה היא מרחיקת לכת במקרה קונקרטי זה. אכן, הנאשם לא התנהג כמצופה ממי שקטל את חיי חברו, ומעשיו כפי שיובהר להלן, אף יביאו להרשעתו בעבירת שיבוש מהלכי משפט. זאת ועוד, הנאשם התגלה כאדם מרוכז בעצמו ובעל מידות מוסר מפוקפקות. עם זאת, איני סבור כי ניתן להשליך מקווי אישיותו אלה ולקבוע (ודאי לא מעבר לכל ספק סביר) כי מעשיו סמוך לאחר הירי מעידים בהכרח על כך שהוא היה שווה נפש למות המנוח </w:t>
      </w:r>
      <w:r w:rsidRPr="00B06C6C">
        <w:rPr>
          <w:rFonts w:ascii="David" w:hAnsi="David" w:cs="David" w:hint="cs"/>
          <w:sz w:val="24"/>
          <w:szCs w:val="24"/>
          <w:u w:val="single"/>
          <w:rtl/>
        </w:rPr>
        <w:t>בזמן הירי</w:t>
      </w:r>
      <w:r>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sidRPr="00BD2AA9">
        <w:rPr>
          <w:rFonts w:ascii="David" w:hAnsi="David" w:cs="David" w:hint="cs"/>
          <w:sz w:val="24"/>
          <w:szCs w:val="24"/>
          <w:rtl/>
        </w:rPr>
        <w:t>נימוק נוסף ה</w:t>
      </w:r>
      <w:r>
        <w:rPr>
          <w:rFonts w:ascii="David" w:hAnsi="David" w:cs="David" w:hint="cs"/>
          <w:sz w:val="24"/>
          <w:szCs w:val="24"/>
          <w:rtl/>
        </w:rPr>
        <w:t xml:space="preserve">תומך לטעמי בעמדתי כי הנאשם היה קל דעת לתוצאות מעשיו, ולא אדיש, </w:t>
      </w:r>
      <w:r w:rsidRPr="00BD2AA9">
        <w:rPr>
          <w:rFonts w:ascii="David" w:hAnsi="David" w:cs="David" w:hint="cs"/>
          <w:sz w:val="24"/>
          <w:szCs w:val="24"/>
          <w:rtl/>
        </w:rPr>
        <w:t xml:space="preserve">הוא העובדה שהנאשם </w:t>
      </w:r>
      <w:r w:rsidRPr="00BD2AA9">
        <w:rPr>
          <w:rFonts w:ascii="David" w:hAnsi="David" w:cs="David"/>
          <w:sz w:val="24"/>
          <w:szCs w:val="24"/>
          <w:rtl/>
        </w:rPr>
        <w:t>–</w:t>
      </w:r>
      <w:r w:rsidRPr="00BD2AA9">
        <w:rPr>
          <w:rFonts w:ascii="David" w:hAnsi="David" w:cs="David" w:hint="cs"/>
          <w:sz w:val="24"/>
          <w:szCs w:val="24"/>
          <w:rtl/>
        </w:rPr>
        <w:t xml:space="preserve"> הגם שעשה שימוש בכלי נשק קטלני ומסכן חיים </w:t>
      </w:r>
      <w:r w:rsidRPr="00BD2AA9">
        <w:rPr>
          <w:rFonts w:ascii="David" w:hAnsi="David" w:cs="David"/>
          <w:sz w:val="24"/>
          <w:szCs w:val="24"/>
          <w:rtl/>
        </w:rPr>
        <w:t>–</w:t>
      </w:r>
      <w:r w:rsidRPr="00BD2AA9">
        <w:rPr>
          <w:rFonts w:ascii="David" w:hAnsi="David" w:cs="David" w:hint="cs"/>
          <w:sz w:val="24"/>
          <w:szCs w:val="24"/>
          <w:rtl/>
        </w:rPr>
        <w:t xml:space="preserve"> לא </w:t>
      </w:r>
      <w:r w:rsidRPr="00BD2AA9">
        <w:rPr>
          <w:rFonts w:ascii="David" w:hAnsi="David" w:cs="David" w:hint="cs"/>
          <w:sz w:val="24"/>
          <w:szCs w:val="24"/>
          <w:u w:val="single"/>
          <w:rtl/>
        </w:rPr>
        <w:t>התכוון</w:t>
      </w:r>
      <w:r>
        <w:rPr>
          <w:rFonts w:ascii="David" w:hAnsi="David" w:cs="David" w:hint="cs"/>
          <w:sz w:val="24"/>
          <w:szCs w:val="24"/>
          <w:rtl/>
        </w:rPr>
        <w:t>,</w:t>
      </w:r>
      <w:r w:rsidRPr="00BD2AA9">
        <w:rPr>
          <w:rFonts w:ascii="David" w:hAnsi="David" w:cs="David" w:hint="cs"/>
          <w:sz w:val="24"/>
          <w:szCs w:val="24"/>
          <w:rtl/>
        </w:rPr>
        <w:t xml:space="preserve"> מראש </w:t>
      </w:r>
      <w:r>
        <w:rPr>
          <w:rFonts w:ascii="David" w:hAnsi="David" w:cs="David" w:hint="cs"/>
          <w:sz w:val="24"/>
          <w:szCs w:val="24"/>
          <w:rtl/>
        </w:rPr>
        <w:t xml:space="preserve">ועובר לירי </w:t>
      </w:r>
      <w:r w:rsidRPr="00BD2AA9">
        <w:rPr>
          <w:rFonts w:ascii="David" w:hAnsi="David" w:cs="David" w:hint="cs"/>
          <w:sz w:val="24"/>
          <w:szCs w:val="24"/>
          <w:rtl/>
        </w:rPr>
        <w:t xml:space="preserve">(ודומה שלא היתה על </w:t>
      </w:r>
      <w:r>
        <w:rPr>
          <w:rFonts w:ascii="David" w:hAnsi="David" w:cs="David" w:hint="cs"/>
          <w:sz w:val="24"/>
          <w:szCs w:val="24"/>
          <w:rtl/>
        </w:rPr>
        <w:t xml:space="preserve">כך </w:t>
      </w:r>
      <w:r w:rsidRPr="00BD2AA9">
        <w:rPr>
          <w:rFonts w:ascii="David" w:hAnsi="David" w:cs="David" w:hint="cs"/>
          <w:sz w:val="24"/>
          <w:szCs w:val="24"/>
          <w:rtl/>
        </w:rPr>
        <w:t xml:space="preserve">מחלוקת), </w:t>
      </w:r>
      <w:r w:rsidRPr="009E726F">
        <w:rPr>
          <w:rFonts w:ascii="David" w:hAnsi="David" w:cs="David" w:hint="cs"/>
          <w:sz w:val="24"/>
          <w:szCs w:val="24"/>
          <w:u w:val="single"/>
          <w:rtl/>
        </w:rPr>
        <w:t xml:space="preserve">לפגוע פגיעה </w:t>
      </w:r>
      <w:r>
        <w:rPr>
          <w:rFonts w:ascii="David" w:hAnsi="David" w:cs="David" w:hint="cs"/>
          <w:sz w:val="24"/>
          <w:szCs w:val="24"/>
          <w:u w:val="single"/>
          <w:rtl/>
        </w:rPr>
        <w:t xml:space="preserve">פיזית </w:t>
      </w:r>
      <w:r w:rsidRPr="009E726F">
        <w:rPr>
          <w:rFonts w:ascii="David" w:hAnsi="David" w:cs="David" w:hint="cs"/>
          <w:sz w:val="24"/>
          <w:szCs w:val="24"/>
          <w:u w:val="single"/>
          <w:rtl/>
        </w:rPr>
        <w:t>כלשהי במנוח</w:t>
      </w:r>
      <w:r w:rsidRPr="00BD2AA9">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B37D7B"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סקירת המקרים </w:t>
      </w:r>
      <w:r w:rsidRPr="00BD2AA9">
        <w:rPr>
          <w:rFonts w:ascii="David" w:hAnsi="David" w:cs="David" w:hint="cs"/>
          <w:sz w:val="24"/>
          <w:szCs w:val="24"/>
          <w:rtl/>
        </w:rPr>
        <w:t xml:space="preserve">בהם הורשעו נאשמים בעבירה של </w:t>
      </w:r>
      <w:r w:rsidRPr="00B37D7B">
        <w:rPr>
          <w:rFonts w:ascii="David" w:hAnsi="David" w:cs="David" w:hint="cs"/>
          <w:sz w:val="24"/>
          <w:szCs w:val="24"/>
          <w:rtl/>
        </w:rPr>
        <w:t>הריגה (טרם הרפורמה)</w:t>
      </w:r>
      <w:r>
        <w:rPr>
          <w:rFonts w:ascii="David" w:hAnsi="David" w:cs="David" w:hint="cs"/>
          <w:sz w:val="24"/>
          <w:szCs w:val="24"/>
          <w:rtl/>
        </w:rPr>
        <w:t>,</w:t>
      </w:r>
      <w:r w:rsidRPr="00B37D7B">
        <w:rPr>
          <w:rFonts w:ascii="David" w:hAnsi="David" w:cs="David" w:hint="cs"/>
          <w:sz w:val="24"/>
          <w:szCs w:val="24"/>
          <w:rtl/>
        </w:rPr>
        <w:t xml:space="preserve"> או רצח באדישות,</w:t>
      </w: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מעלה כי לרוב היה מ</w:t>
      </w:r>
      <w:r w:rsidRPr="00B37D7B">
        <w:rPr>
          <w:rFonts w:ascii="David" w:hAnsi="David" w:cs="David" w:hint="cs"/>
          <w:sz w:val="24"/>
          <w:szCs w:val="24"/>
          <w:rtl/>
        </w:rPr>
        <w:t xml:space="preserve">דובר </w:t>
      </w:r>
      <w:r w:rsidRPr="00B37D7B">
        <w:rPr>
          <w:rFonts w:ascii="David" w:hAnsi="David" w:cs="David" w:hint="cs"/>
          <w:sz w:val="24"/>
          <w:szCs w:val="24"/>
          <w:u w:val="single"/>
          <w:rtl/>
        </w:rPr>
        <w:t>באירועים אלימים</w:t>
      </w:r>
      <w:r w:rsidRPr="005217DA">
        <w:rPr>
          <w:rFonts w:ascii="David" w:hAnsi="David" w:cs="David" w:hint="cs"/>
          <w:sz w:val="24"/>
          <w:szCs w:val="24"/>
          <w:u w:val="single"/>
          <w:rtl/>
        </w:rPr>
        <w:t xml:space="preserve"> </w:t>
      </w:r>
      <w:r w:rsidRPr="00B37D7B">
        <w:rPr>
          <w:rFonts w:ascii="David" w:hAnsi="David" w:cs="David" w:hint="cs"/>
          <w:sz w:val="24"/>
          <w:szCs w:val="24"/>
          <w:u w:val="single"/>
          <w:rtl/>
        </w:rPr>
        <w:t xml:space="preserve">בהם הנאשמים </w:t>
      </w:r>
      <w:r>
        <w:rPr>
          <w:rFonts w:ascii="David" w:hAnsi="David" w:cs="David" w:hint="cs"/>
          <w:sz w:val="24"/>
          <w:szCs w:val="24"/>
          <w:u w:val="single"/>
          <w:rtl/>
        </w:rPr>
        <w:t xml:space="preserve">תקפו את המנוחים, באופן אלים כשהם מתכוונים </w:t>
      </w:r>
      <w:r w:rsidRPr="00B37D7B">
        <w:rPr>
          <w:rFonts w:ascii="David" w:hAnsi="David" w:cs="David" w:hint="cs"/>
          <w:sz w:val="24"/>
          <w:szCs w:val="24"/>
          <w:u w:val="single"/>
          <w:rtl/>
        </w:rPr>
        <w:t>להכות ולחבול ב</w:t>
      </w:r>
      <w:r>
        <w:rPr>
          <w:rFonts w:ascii="David" w:hAnsi="David" w:cs="David" w:hint="cs"/>
          <w:sz w:val="24"/>
          <w:szCs w:val="24"/>
          <w:u w:val="single"/>
          <w:rtl/>
        </w:rPr>
        <w:t>הם</w:t>
      </w:r>
      <w:r w:rsidRPr="00B37D7B">
        <w:rPr>
          <w:rFonts w:ascii="David" w:hAnsi="David" w:cs="David" w:hint="cs"/>
          <w:sz w:val="24"/>
          <w:szCs w:val="24"/>
          <w:rtl/>
        </w:rPr>
        <w:t xml:space="preserve">. נתון בסיסי זה לרוב לא היה במחלוקת, אך הנאשמים טענו כי הם לא </w:t>
      </w:r>
      <w:r>
        <w:rPr>
          <w:rFonts w:ascii="David" w:hAnsi="David" w:cs="David" w:hint="cs"/>
          <w:sz w:val="24"/>
          <w:szCs w:val="24"/>
          <w:rtl/>
        </w:rPr>
        <w:t xml:space="preserve">התכוונו (מקום בו הואשמו בעבירת כוונה) או לא היו </w:t>
      </w:r>
      <w:r w:rsidRPr="00B37D7B">
        <w:rPr>
          <w:rFonts w:ascii="David" w:hAnsi="David" w:cs="David" w:hint="cs"/>
          <w:sz w:val="24"/>
          <w:szCs w:val="24"/>
          <w:rtl/>
        </w:rPr>
        <w:t xml:space="preserve">שווי נפש </w:t>
      </w:r>
      <w:r w:rsidRPr="005217DA">
        <w:rPr>
          <w:rFonts w:ascii="David" w:hAnsi="David" w:cs="David" w:hint="cs"/>
          <w:sz w:val="24"/>
          <w:szCs w:val="24"/>
          <w:u w:val="single"/>
          <w:rtl/>
        </w:rPr>
        <w:t>למות המנוחים</w:t>
      </w:r>
      <w:r w:rsidRPr="00B37D7B">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נביא להלן את המקרים האחרונים שנדונו בפסיקה, ובהם נקבע כי הנאשמים היו שווי נפש למות המנוחים -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1218"/>
          <w:tab w:val="left" w:pos="3686"/>
        </w:tabs>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כך, בע"פ 1948/20 </w:t>
      </w:r>
      <w:r w:rsidRPr="000006CD">
        <w:rPr>
          <w:rFonts w:ascii="Miriam" w:hAnsi="Miriam" w:cs="Miriam"/>
          <w:sz w:val="24"/>
          <w:szCs w:val="24"/>
          <w:rtl/>
        </w:rPr>
        <w:t>סלימאן נ' מדינת ישראל</w:t>
      </w:r>
      <w:r>
        <w:rPr>
          <w:rFonts w:ascii="David" w:hAnsi="David" w:cs="David" w:hint="cs"/>
          <w:sz w:val="24"/>
          <w:szCs w:val="24"/>
          <w:rtl/>
        </w:rPr>
        <w:t xml:space="preserve"> (2.2.23) הורשע המערער בהריגת המנוח לאחר שירה בו מאקדח </w:t>
      </w:r>
      <w:r w:rsidRPr="000006CD">
        <w:rPr>
          <w:rFonts w:ascii="David" w:hAnsi="David" w:cs="David" w:hint="cs"/>
          <w:sz w:val="24"/>
          <w:szCs w:val="24"/>
          <w:rtl/>
        </w:rPr>
        <w:t>באופן מכוון ומודע</w:t>
      </w:r>
      <w:r>
        <w:rPr>
          <w:rFonts w:ascii="David" w:hAnsi="David" w:cs="David" w:hint="cs"/>
          <w:sz w:val="24"/>
          <w:szCs w:val="24"/>
          <w:rtl/>
        </w:rPr>
        <w:t xml:space="preserve"> מספר יריות מטווח קצר ועל רקע סכסוך ביניהם, זמן קצר לאחר קטטה. נקבע כי אמנם לא היתה למערער </w:t>
      </w:r>
      <w:r w:rsidRPr="000006CD">
        <w:rPr>
          <w:rFonts w:ascii="David" w:hAnsi="David" w:cs="David" w:hint="cs"/>
          <w:sz w:val="24"/>
          <w:szCs w:val="24"/>
          <w:u w:val="single"/>
          <w:rtl/>
        </w:rPr>
        <w:t>כוונה</w:t>
      </w:r>
      <w:r>
        <w:rPr>
          <w:rFonts w:ascii="David" w:hAnsi="David" w:cs="David" w:hint="cs"/>
          <w:sz w:val="24"/>
          <w:szCs w:val="24"/>
          <w:rtl/>
        </w:rPr>
        <w:t xml:space="preserve"> להרוג </w:t>
      </w:r>
      <w:r w:rsidRPr="000006CD">
        <w:rPr>
          <w:rFonts w:ascii="David" w:hAnsi="David" w:cs="David" w:hint="cs"/>
          <w:sz w:val="24"/>
          <w:szCs w:val="24"/>
          <w:u w:val="single"/>
          <w:rtl/>
        </w:rPr>
        <w:t>אך היתה לו כוונה לחבול במנוח והוא היה אדיש ל</w:t>
      </w:r>
      <w:r>
        <w:rPr>
          <w:rFonts w:ascii="David" w:hAnsi="David" w:cs="David" w:hint="cs"/>
          <w:sz w:val="24"/>
          <w:szCs w:val="24"/>
          <w:u w:val="single"/>
          <w:rtl/>
        </w:rPr>
        <w:t xml:space="preserve">אפשרות גרימת </w:t>
      </w:r>
      <w:r w:rsidRPr="000006CD">
        <w:rPr>
          <w:rFonts w:ascii="David" w:hAnsi="David" w:cs="David" w:hint="cs"/>
          <w:sz w:val="24"/>
          <w:szCs w:val="24"/>
          <w:u w:val="single"/>
          <w:rtl/>
        </w:rPr>
        <w:t>מותו</w:t>
      </w:r>
      <w:r>
        <w:rPr>
          <w:rFonts w:ascii="David" w:hAnsi="David" w:cs="David" w:hint="cs"/>
          <w:sz w:val="24"/>
          <w:szCs w:val="24"/>
          <w:rtl/>
        </w:rPr>
        <w:t xml:space="preserve">;  </w:t>
      </w:r>
    </w:p>
    <w:p w:rsidR="00272CAC" w:rsidRDefault="00272CAC" w:rsidP="00272CAC">
      <w:pPr>
        <w:pStyle w:val="ac"/>
        <w:tabs>
          <w:tab w:val="left" w:pos="1218"/>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1218"/>
          <w:tab w:val="left" w:pos="3686"/>
        </w:tabs>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בע"פ 1464/21 </w:t>
      </w:r>
      <w:r w:rsidRPr="000006CD">
        <w:rPr>
          <w:rFonts w:ascii="Miriam" w:hAnsi="Miriam" w:cs="Miriam"/>
          <w:sz w:val="24"/>
          <w:szCs w:val="24"/>
          <w:rtl/>
        </w:rPr>
        <w:t>קפוסטין נ' מדינת ישראל</w:t>
      </w:r>
      <w:r w:rsidRPr="000006CD">
        <w:rPr>
          <w:rFonts w:ascii="David" w:hAnsi="David" w:cs="David"/>
          <w:sz w:val="24"/>
          <w:szCs w:val="24"/>
          <w:rtl/>
        </w:rPr>
        <w:t xml:space="preserve"> </w:t>
      </w:r>
      <w:r>
        <w:rPr>
          <w:rFonts w:ascii="David" w:hAnsi="David" w:cs="David" w:hint="cs"/>
          <w:sz w:val="24"/>
          <w:szCs w:val="24"/>
          <w:rtl/>
        </w:rPr>
        <w:t xml:space="preserve">(11.9.22) הורשע המערער ברצח באדישות, לאחר שהיכה את אמו </w:t>
      </w:r>
      <w:r w:rsidRPr="00286EAC">
        <w:rPr>
          <w:rFonts w:ascii="David" w:hAnsi="David" w:cs="David"/>
          <w:sz w:val="24"/>
          <w:szCs w:val="24"/>
          <w:rtl/>
        </w:rPr>
        <w:t>בראשה</w:t>
      </w:r>
      <w:r>
        <w:rPr>
          <w:rFonts w:ascii="David" w:hAnsi="David" w:cs="David" w:hint="cs"/>
          <w:sz w:val="24"/>
          <w:szCs w:val="24"/>
          <w:rtl/>
        </w:rPr>
        <w:t xml:space="preserve"> </w:t>
      </w:r>
      <w:r w:rsidRPr="00286EAC">
        <w:rPr>
          <w:rFonts w:ascii="David" w:hAnsi="David" w:cs="David"/>
          <w:sz w:val="24"/>
          <w:szCs w:val="24"/>
          <w:rtl/>
        </w:rPr>
        <w:t xml:space="preserve">ובחלקי גוף נוספים תוך שימוש בחפצים. נקבע כי </w:t>
      </w:r>
      <w:r>
        <w:rPr>
          <w:rFonts w:ascii="David" w:hAnsi="David" w:cs="David" w:hint="cs"/>
          <w:sz w:val="24"/>
          <w:szCs w:val="24"/>
          <w:rtl/>
        </w:rPr>
        <w:t xml:space="preserve">המערער </w:t>
      </w:r>
      <w:r w:rsidRPr="00286EAC">
        <w:rPr>
          <w:rFonts w:ascii="David" w:hAnsi="David" w:cs="David"/>
          <w:sz w:val="24"/>
          <w:szCs w:val="24"/>
          <w:rtl/>
        </w:rPr>
        <w:t xml:space="preserve">נהג </w:t>
      </w:r>
      <w:r w:rsidRPr="000006CD">
        <w:rPr>
          <w:rFonts w:ascii="David" w:hAnsi="David" w:cs="David"/>
          <w:sz w:val="24"/>
          <w:szCs w:val="24"/>
          <w:rtl/>
        </w:rPr>
        <w:t>בשוויון נפש לגבי האפשרות שהמכות יגרמו למות</w:t>
      </w:r>
      <w:r w:rsidRPr="000006CD">
        <w:rPr>
          <w:rFonts w:ascii="David" w:hAnsi="David" w:cs="David" w:hint="cs"/>
          <w:sz w:val="24"/>
          <w:szCs w:val="24"/>
          <w:rtl/>
        </w:rPr>
        <w:t xml:space="preserve"> האם</w:t>
      </w:r>
      <w:r>
        <w:rPr>
          <w:rFonts w:ascii="David" w:hAnsi="David" w:cs="David" w:hint="cs"/>
          <w:sz w:val="24"/>
          <w:szCs w:val="24"/>
          <w:rtl/>
        </w:rPr>
        <w:t xml:space="preserve">, ומאליו יוצא כי המערער היה מודע למעשיו </w:t>
      </w:r>
      <w:r w:rsidRPr="002D1702">
        <w:rPr>
          <w:rFonts w:ascii="David" w:hAnsi="David" w:cs="David" w:hint="cs"/>
          <w:sz w:val="24"/>
          <w:szCs w:val="24"/>
          <w:u w:val="single"/>
          <w:rtl/>
        </w:rPr>
        <w:t>והתכוון להכות ולחבול באמו</w:t>
      </w:r>
      <w:r>
        <w:rPr>
          <w:rFonts w:ascii="David" w:hAnsi="David" w:cs="David" w:hint="cs"/>
          <w:sz w:val="24"/>
          <w:szCs w:val="24"/>
          <w:rtl/>
        </w:rPr>
        <w:t>, תוך שהיה אדיש לאפשרות גרימת מותה;</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F02D51" w:rsidRDefault="00272CAC" w:rsidP="00272CAC">
      <w:pPr>
        <w:pStyle w:val="ac"/>
        <w:tabs>
          <w:tab w:val="left" w:pos="1218"/>
          <w:tab w:val="left" w:pos="3686"/>
        </w:tabs>
        <w:spacing w:after="0" w:line="360" w:lineRule="auto"/>
        <w:ind w:left="360"/>
        <w:jc w:val="both"/>
        <w:rPr>
          <w:rFonts w:ascii="David" w:hAnsi="David" w:cs="David"/>
          <w:sz w:val="24"/>
          <w:szCs w:val="24"/>
          <w:rtl/>
        </w:rPr>
      </w:pPr>
      <w:r>
        <w:rPr>
          <w:rFonts w:ascii="David" w:hAnsi="David" w:cs="David" w:hint="cs"/>
          <w:sz w:val="24"/>
          <w:szCs w:val="24"/>
          <w:rtl/>
        </w:rPr>
        <w:lastRenderedPageBreak/>
        <w:t xml:space="preserve">(-) </w:t>
      </w:r>
      <w:r>
        <w:rPr>
          <w:rFonts w:ascii="David" w:hAnsi="David" w:cs="David"/>
          <w:sz w:val="24"/>
          <w:szCs w:val="24"/>
          <w:rtl/>
        </w:rPr>
        <w:tab/>
      </w:r>
      <w:r>
        <w:rPr>
          <w:rFonts w:ascii="David" w:hAnsi="David" w:cs="David" w:hint="cs"/>
          <w:sz w:val="24"/>
          <w:szCs w:val="24"/>
          <w:rtl/>
        </w:rPr>
        <w:t xml:space="preserve">בע"פ 2417/20 </w:t>
      </w:r>
      <w:r w:rsidRPr="000006CD">
        <w:rPr>
          <w:rFonts w:ascii="Miriam" w:hAnsi="Miriam" w:cs="Miriam"/>
          <w:sz w:val="24"/>
          <w:szCs w:val="24"/>
          <w:rtl/>
        </w:rPr>
        <w:t>אלבז נ' מדינת ישראל</w:t>
      </w:r>
      <w:r>
        <w:rPr>
          <w:rFonts w:ascii="David" w:hAnsi="David" w:cs="David" w:hint="cs"/>
          <w:sz w:val="24"/>
          <w:szCs w:val="24"/>
          <w:rtl/>
        </w:rPr>
        <w:t xml:space="preserve"> </w:t>
      </w:r>
      <w:r w:rsidRPr="000006CD">
        <w:rPr>
          <w:rFonts w:ascii="David" w:hAnsi="David" w:cs="David"/>
          <w:sz w:val="24"/>
          <w:szCs w:val="24"/>
          <w:rtl/>
        </w:rPr>
        <w:t>(17.1.22)</w:t>
      </w:r>
      <w:r w:rsidRPr="000006CD">
        <w:rPr>
          <w:rFonts w:ascii="David" w:hAnsi="David" w:cs="David" w:hint="cs"/>
          <w:sz w:val="24"/>
          <w:szCs w:val="24"/>
          <w:rtl/>
        </w:rPr>
        <w:t xml:space="preserve">, </w:t>
      </w:r>
      <w:r w:rsidRPr="000006CD">
        <w:rPr>
          <w:rFonts w:ascii="David" w:hAnsi="David" w:cs="David"/>
          <w:sz w:val="24"/>
          <w:szCs w:val="24"/>
          <w:rtl/>
        </w:rPr>
        <w:t xml:space="preserve"> </w:t>
      </w:r>
      <w:r w:rsidRPr="000006CD">
        <w:rPr>
          <w:rFonts w:ascii="David" w:hAnsi="David" w:cs="David" w:hint="cs"/>
          <w:sz w:val="24"/>
          <w:szCs w:val="24"/>
          <w:rtl/>
        </w:rPr>
        <w:t xml:space="preserve">התגלע סכסוך בין המערער למנוח ועל רקע זה </w:t>
      </w:r>
      <w:r w:rsidRPr="002D1702">
        <w:rPr>
          <w:rFonts w:ascii="David" w:hAnsi="David" w:cs="David" w:hint="cs"/>
          <w:sz w:val="24"/>
          <w:szCs w:val="24"/>
          <w:u w:val="single"/>
          <w:rtl/>
        </w:rPr>
        <w:t>המערער ת</w:t>
      </w:r>
      <w:r w:rsidRPr="002D1702">
        <w:rPr>
          <w:rFonts w:ascii="David" w:hAnsi="David" w:cs="David"/>
          <w:sz w:val="24"/>
          <w:szCs w:val="24"/>
          <w:u w:val="single"/>
          <w:rtl/>
        </w:rPr>
        <w:t>קף את המנוח ודקר אותו בסכין</w:t>
      </w:r>
      <w:r>
        <w:rPr>
          <w:rFonts w:ascii="David" w:hAnsi="David" w:cs="David" w:hint="cs"/>
          <w:sz w:val="24"/>
          <w:szCs w:val="24"/>
          <w:rtl/>
        </w:rPr>
        <w:t xml:space="preserve"> באופן </w:t>
      </w:r>
      <w:r w:rsidRPr="000006CD">
        <w:rPr>
          <w:rFonts w:ascii="David" w:hAnsi="David" w:cs="David" w:hint="cs"/>
          <w:sz w:val="24"/>
          <w:szCs w:val="24"/>
          <w:rtl/>
        </w:rPr>
        <w:t>ש</w:t>
      </w:r>
      <w:r w:rsidRPr="000006CD">
        <w:rPr>
          <w:rFonts w:ascii="David" w:hAnsi="David" w:cs="David"/>
          <w:sz w:val="24"/>
          <w:szCs w:val="24"/>
          <w:rtl/>
        </w:rPr>
        <w:t>עמד מעל</w:t>
      </w:r>
      <w:r>
        <w:rPr>
          <w:rFonts w:ascii="David" w:hAnsi="David" w:cs="David" w:hint="cs"/>
          <w:sz w:val="24"/>
          <w:szCs w:val="24"/>
          <w:rtl/>
        </w:rPr>
        <w:t xml:space="preserve">יו </w:t>
      </w:r>
      <w:r w:rsidRPr="000006CD">
        <w:rPr>
          <w:rFonts w:ascii="David" w:hAnsi="David" w:cs="David"/>
          <w:sz w:val="24"/>
          <w:szCs w:val="24"/>
          <w:rtl/>
        </w:rPr>
        <w:t>ודקר אותו ובראשו ובפלג גופו העליון 14-15 דקירות</w:t>
      </w:r>
      <w:r w:rsidRPr="00F02D51">
        <w:rPr>
          <w:rFonts w:ascii="David" w:hAnsi="David" w:cs="David"/>
          <w:sz w:val="24"/>
          <w:szCs w:val="24"/>
          <w:rtl/>
        </w:rPr>
        <w:t xml:space="preserve">. </w:t>
      </w:r>
      <w:r>
        <w:rPr>
          <w:rFonts w:ascii="David" w:hAnsi="David" w:cs="David" w:hint="cs"/>
          <w:sz w:val="24"/>
          <w:szCs w:val="24"/>
          <w:rtl/>
        </w:rPr>
        <w:t>המערער הורשע ב</w:t>
      </w:r>
      <w:r w:rsidRPr="00F02D51">
        <w:rPr>
          <w:rFonts w:ascii="David" w:hAnsi="David" w:cs="David"/>
          <w:sz w:val="24"/>
          <w:szCs w:val="24"/>
          <w:rtl/>
        </w:rPr>
        <w:t>הריגה</w:t>
      </w:r>
      <w:r>
        <w:rPr>
          <w:rFonts w:ascii="David" w:hAnsi="David" w:cs="David" w:hint="cs"/>
          <w:sz w:val="24"/>
          <w:szCs w:val="24"/>
          <w:rtl/>
        </w:rPr>
        <w:t>;</w:t>
      </w:r>
    </w:p>
    <w:p w:rsidR="00272CAC" w:rsidRPr="000006CD" w:rsidRDefault="00272CAC" w:rsidP="00272CAC">
      <w:pPr>
        <w:pStyle w:val="ac"/>
        <w:tabs>
          <w:tab w:val="left" w:pos="3686"/>
        </w:tabs>
        <w:spacing w:after="0" w:line="360" w:lineRule="auto"/>
        <w:ind w:left="360"/>
        <w:jc w:val="both"/>
        <w:rPr>
          <w:rFonts w:ascii="David" w:hAnsi="David" w:cs="David"/>
          <w:sz w:val="24"/>
          <w:szCs w:val="24"/>
          <w:rtl/>
        </w:rPr>
      </w:pPr>
    </w:p>
    <w:p w:rsidR="00272CAC" w:rsidRPr="00F02D51" w:rsidRDefault="00272CAC" w:rsidP="00272CAC">
      <w:pPr>
        <w:pStyle w:val="ac"/>
        <w:tabs>
          <w:tab w:val="left" w:pos="1218"/>
          <w:tab w:val="left" w:pos="3686"/>
        </w:tabs>
        <w:spacing w:after="0" w:line="360" w:lineRule="auto"/>
        <w:ind w:left="360"/>
        <w:jc w:val="both"/>
        <w:rPr>
          <w:rFonts w:ascii="David" w:hAnsi="David" w:cs="David"/>
          <w:sz w:val="24"/>
          <w:szCs w:val="24"/>
        </w:rPr>
      </w:pPr>
      <w:r w:rsidRPr="000006CD">
        <w:rPr>
          <w:rFonts w:ascii="David" w:hAnsi="David" w:cs="David" w:hint="cs"/>
          <w:sz w:val="24"/>
          <w:szCs w:val="24"/>
          <w:rtl/>
        </w:rPr>
        <w:t>(-)</w:t>
      </w:r>
      <w:r w:rsidRPr="000006CD">
        <w:rPr>
          <w:rFonts w:ascii="David" w:hAnsi="David" w:cs="David"/>
          <w:sz w:val="24"/>
          <w:szCs w:val="24"/>
          <w:rtl/>
        </w:rPr>
        <w:tab/>
      </w:r>
      <w:r w:rsidRPr="000006CD">
        <w:rPr>
          <w:rFonts w:ascii="David" w:hAnsi="David" w:cs="David" w:hint="cs"/>
          <w:sz w:val="24"/>
          <w:szCs w:val="24"/>
          <w:rtl/>
        </w:rPr>
        <w:t>ב</w:t>
      </w:r>
      <w:r w:rsidRPr="000006CD">
        <w:rPr>
          <w:rFonts w:ascii="David" w:hAnsi="David" w:cs="David"/>
          <w:sz w:val="24"/>
          <w:szCs w:val="24"/>
          <w:rtl/>
        </w:rPr>
        <w:t>ע"פ 7229/20</w:t>
      </w:r>
      <w:r w:rsidRPr="000006CD">
        <w:rPr>
          <w:rFonts w:ascii="David" w:hAnsi="David" w:cs="David" w:hint="cs"/>
          <w:sz w:val="24"/>
          <w:szCs w:val="24"/>
          <w:rtl/>
        </w:rPr>
        <w:t xml:space="preserve"> </w:t>
      </w:r>
      <w:r w:rsidRPr="000006CD">
        <w:rPr>
          <w:rFonts w:ascii="Miriam" w:hAnsi="Miriam" w:cs="Miriam"/>
          <w:sz w:val="24"/>
          <w:szCs w:val="24"/>
          <w:rtl/>
        </w:rPr>
        <w:t>מירזייב נ' מדינת ישראל</w:t>
      </w:r>
      <w:r w:rsidRPr="000006CD">
        <w:rPr>
          <w:rFonts w:ascii="David" w:hAnsi="David" w:cs="David"/>
          <w:sz w:val="24"/>
          <w:szCs w:val="24"/>
          <w:rtl/>
        </w:rPr>
        <w:t xml:space="preserve"> (20.12.21) </w:t>
      </w:r>
      <w:r w:rsidRPr="000006CD">
        <w:rPr>
          <w:rFonts w:ascii="David" w:hAnsi="David" w:cs="David" w:hint="cs"/>
          <w:sz w:val="24"/>
          <w:szCs w:val="24"/>
          <w:rtl/>
        </w:rPr>
        <w:t xml:space="preserve">שכבר הוזכר לעיל, </w:t>
      </w:r>
      <w:r>
        <w:rPr>
          <w:rFonts w:ascii="David" w:hAnsi="David" w:cs="David" w:hint="cs"/>
          <w:sz w:val="24"/>
          <w:szCs w:val="24"/>
          <w:rtl/>
        </w:rPr>
        <w:t xml:space="preserve">התפתח ויכוח בין </w:t>
      </w:r>
      <w:r w:rsidRPr="00F02D51">
        <w:rPr>
          <w:rFonts w:ascii="David" w:hAnsi="David" w:cs="David"/>
          <w:sz w:val="24"/>
          <w:szCs w:val="24"/>
          <w:rtl/>
        </w:rPr>
        <w:t xml:space="preserve">המערער למנוח </w:t>
      </w:r>
      <w:r>
        <w:rPr>
          <w:rFonts w:ascii="David" w:hAnsi="David" w:cs="David" w:hint="cs"/>
          <w:sz w:val="24"/>
          <w:szCs w:val="24"/>
          <w:rtl/>
        </w:rPr>
        <w:t xml:space="preserve">שגלש לאלימות </w:t>
      </w:r>
      <w:r>
        <w:rPr>
          <w:rFonts w:ascii="David" w:hAnsi="David" w:cs="David"/>
          <w:sz w:val="24"/>
          <w:szCs w:val="24"/>
          <w:rtl/>
        </w:rPr>
        <w:t>–</w:t>
      </w:r>
      <w:r>
        <w:rPr>
          <w:rFonts w:ascii="David" w:hAnsi="David" w:cs="David" w:hint="cs"/>
          <w:sz w:val="24"/>
          <w:szCs w:val="24"/>
          <w:rtl/>
        </w:rPr>
        <w:t xml:space="preserve"> המנוח סטר למערער,</w:t>
      </w:r>
      <w:r w:rsidRPr="00F02D51">
        <w:rPr>
          <w:rFonts w:ascii="David" w:hAnsi="David" w:cs="David"/>
          <w:sz w:val="24"/>
          <w:szCs w:val="24"/>
          <w:rtl/>
        </w:rPr>
        <w:t xml:space="preserve"> </w:t>
      </w:r>
      <w:r>
        <w:rPr>
          <w:rFonts w:ascii="David" w:hAnsi="David" w:cs="David" w:hint="cs"/>
          <w:sz w:val="24"/>
          <w:szCs w:val="24"/>
          <w:rtl/>
        </w:rPr>
        <w:t xml:space="preserve">האחרון </w:t>
      </w:r>
      <w:r w:rsidRPr="00F02D51">
        <w:rPr>
          <w:rFonts w:ascii="David" w:hAnsi="David" w:cs="David"/>
          <w:sz w:val="24"/>
          <w:szCs w:val="24"/>
          <w:rtl/>
        </w:rPr>
        <w:t>ה</w:t>
      </w:r>
      <w:r w:rsidRPr="00F02D51">
        <w:rPr>
          <w:rFonts w:ascii="David" w:hAnsi="David" w:cs="David" w:hint="cs"/>
          <w:sz w:val="24"/>
          <w:szCs w:val="24"/>
          <w:rtl/>
        </w:rPr>
        <w:t>י</w:t>
      </w:r>
      <w:r w:rsidRPr="00F02D51">
        <w:rPr>
          <w:rFonts w:ascii="David" w:hAnsi="David" w:cs="David"/>
          <w:sz w:val="24"/>
          <w:szCs w:val="24"/>
          <w:rtl/>
        </w:rPr>
        <w:t>כה את המנוח במכת אגרוף</w:t>
      </w:r>
      <w:r>
        <w:rPr>
          <w:rFonts w:ascii="David" w:hAnsi="David" w:cs="David" w:hint="cs"/>
          <w:sz w:val="24"/>
          <w:szCs w:val="24"/>
          <w:rtl/>
        </w:rPr>
        <w:t xml:space="preserve">, </w:t>
      </w:r>
      <w:r w:rsidRPr="00F02D51">
        <w:rPr>
          <w:rFonts w:ascii="David" w:hAnsi="David" w:cs="David"/>
          <w:sz w:val="24"/>
          <w:szCs w:val="24"/>
          <w:rtl/>
        </w:rPr>
        <w:t>המנוח שלף חפץ חד הניפו לעבר המערער</w:t>
      </w:r>
      <w:r>
        <w:rPr>
          <w:rFonts w:ascii="David" w:hAnsi="David" w:cs="David" w:hint="cs"/>
          <w:sz w:val="24"/>
          <w:szCs w:val="24"/>
          <w:rtl/>
        </w:rPr>
        <w:t xml:space="preserve">, ואז המערער התרחק לרכבו ובהמשך </w:t>
      </w:r>
      <w:r w:rsidRPr="002D1702">
        <w:rPr>
          <w:rFonts w:ascii="David" w:hAnsi="David" w:cs="David" w:hint="cs"/>
          <w:sz w:val="24"/>
          <w:szCs w:val="24"/>
          <w:u w:val="single"/>
          <w:rtl/>
        </w:rPr>
        <w:t>נסע לכוון המנוח</w:t>
      </w:r>
      <w:r>
        <w:rPr>
          <w:rFonts w:ascii="David" w:hAnsi="David" w:cs="David" w:hint="cs"/>
          <w:sz w:val="24"/>
          <w:szCs w:val="24"/>
          <w:rtl/>
        </w:rPr>
        <w:t xml:space="preserve"> ופגע בו. המערער הורשע בהריגה;</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1218"/>
          <w:tab w:val="left" w:pos="3686"/>
        </w:tabs>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 xml:space="preserve">בע"פ </w:t>
      </w:r>
      <w:r w:rsidRPr="000006CD">
        <w:rPr>
          <w:rFonts w:ascii="David" w:hAnsi="David" w:cs="David"/>
          <w:sz w:val="24"/>
          <w:szCs w:val="24"/>
          <w:rtl/>
        </w:rPr>
        <w:t>955/20</w:t>
      </w:r>
      <w:r w:rsidRPr="000006CD">
        <w:rPr>
          <w:rFonts w:ascii="David" w:hAnsi="David" w:cs="David" w:hint="cs"/>
          <w:sz w:val="24"/>
          <w:szCs w:val="24"/>
          <w:rtl/>
        </w:rPr>
        <w:t xml:space="preserve"> </w:t>
      </w:r>
      <w:r w:rsidRPr="000006CD">
        <w:rPr>
          <w:rFonts w:ascii="Miriam" w:hAnsi="Miriam" w:cs="Miriam"/>
          <w:sz w:val="24"/>
          <w:szCs w:val="24"/>
          <w:rtl/>
        </w:rPr>
        <w:t>פלוני נ' מדינת ישראל</w:t>
      </w:r>
      <w:r w:rsidRPr="000006CD">
        <w:rPr>
          <w:rFonts w:ascii="David" w:hAnsi="David" w:cs="David" w:hint="cs"/>
          <w:sz w:val="24"/>
          <w:szCs w:val="24"/>
          <w:rtl/>
        </w:rPr>
        <w:t xml:space="preserve"> </w:t>
      </w:r>
      <w:r w:rsidRPr="000006CD">
        <w:rPr>
          <w:rFonts w:ascii="David" w:hAnsi="David" w:cs="David"/>
          <w:sz w:val="24"/>
          <w:szCs w:val="24"/>
          <w:rtl/>
        </w:rPr>
        <w:t>(30.9.21)</w:t>
      </w:r>
      <w:r w:rsidRPr="00F02D51">
        <w:rPr>
          <w:rFonts w:ascii="David" w:hAnsi="David" w:cs="David"/>
          <w:sz w:val="24"/>
          <w:szCs w:val="24"/>
          <w:rtl/>
        </w:rPr>
        <w:t xml:space="preserve"> </w:t>
      </w:r>
      <w:r>
        <w:rPr>
          <w:rFonts w:ascii="David" w:hAnsi="David" w:cs="David" w:hint="cs"/>
          <w:sz w:val="24"/>
          <w:szCs w:val="24"/>
          <w:rtl/>
        </w:rPr>
        <w:t xml:space="preserve">התפתח ויכוח בין המערער למנוח שגלש לאלימות פיזית, האלימות פסקה ואז </w:t>
      </w:r>
      <w:r w:rsidRPr="00F02D51">
        <w:rPr>
          <w:rFonts w:ascii="David" w:hAnsi="David" w:cs="David"/>
          <w:sz w:val="24"/>
          <w:szCs w:val="24"/>
          <w:rtl/>
        </w:rPr>
        <w:t>המערער התרחק מהמנוח, נטל סכין מטבח והתקרב למנוח</w:t>
      </w:r>
      <w:r>
        <w:rPr>
          <w:rFonts w:ascii="David" w:hAnsi="David" w:cs="David" w:hint="cs"/>
          <w:sz w:val="24"/>
          <w:szCs w:val="24"/>
          <w:rtl/>
        </w:rPr>
        <w:t xml:space="preserve">, ולאחר עוד פרץ של אלימות </w:t>
      </w:r>
      <w:r w:rsidRPr="002D1702">
        <w:rPr>
          <w:rFonts w:ascii="David" w:hAnsi="David" w:cs="David"/>
          <w:sz w:val="24"/>
          <w:szCs w:val="24"/>
          <w:u w:val="single"/>
          <w:rtl/>
        </w:rPr>
        <w:t xml:space="preserve">דקר אותו </w:t>
      </w:r>
      <w:r w:rsidRPr="002D1702">
        <w:rPr>
          <w:rFonts w:ascii="David" w:hAnsi="David" w:cs="David" w:hint="cs"/>
          <w:sz w:val="24"/>
          <w:szCs w:val="24"/>
          <w:u w:val="single"/>
          <w:rtl/>
        </w:rPr>
        <w:t>בצווארו</w:t>
      </w:r>
      <w:r w:rsidRPr="000006CD">
        <w:rPr>
          <w:rFonts w:ascii="David" w:hAnsi="David" w:cs="David" w:hint="cs"/>
          <w:sz w:val="24"/>
          <w:szCs w:val="24"/>
          <w:rtl/>
        </w:rPr>
        <w:t xml:space="preserve"> למוות</w:t>
      </w:r>
      <w:r>
        <w:rPr>
          <w:rFonts w:ascii="David" w:hAnsi="David" w:cs="David" w:hint="cs"/>
          <w:sz w:val="24"/>
          <w:szCs w:val="24"/>
          <w:rtl/>
        </w:rPr>
        <w:t>.</w:t>
      </w:r>
      <w:r w:rsidRPr="00F02D51">
        <w:rPr>
          <w:rFonts w:ascii="David" w:hAnsi="David" w:cs="David"/>
          <w:sz w:val="24"/>
          <w:szCs w:val="24"/>
          <w:rtl/>
        </w:rPr>
        <w:t xml:space="preserve"> </w:t>
      </w:r>
      <w:r>
        <w:rPr>
          <w:rFonts w:ascii="David" w:hAnsi="David" w:cs="David" w:hint="cs"/>
          <w:sz w:val="24"/>
          <w:szCs w:val="24"/>
          <w:rtl/>
        </w:rPr>
        <w:t>המערער הורשע בהריגה;</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1218"/>
          <w:tab w:val="left" w:pos="3686"/>
        </w:tabs>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ב</w:t>
      </w:r>
      <w:r w:rsidRPr="000006CD">
        <w:rPr>
          <w:rFonts w:ascii="David" w:hAnsi="David" w:cs="David" w:hint="cs"/>
          <w:sz w:val="24"/>
          <w:szCs w:val="24"/>
          <w:rtl/>
        </w:rPr>
        <w:t xml:space="preserve">תפ"ח (מחוזי חיפה) 12421-08-20 </w:t>
      </w:r>
      <w:r w:rsidRPr="000006CD">
        <w:rPr>
          <w:rFonts w:ascii="Miriam" w:hAnsi="Miriam" w:cs="Miriam"/>
          <w:sz w:val="24"/>
          <w:szCs w:val="24"/>
          <w:rtl/>
        </w:rPr>
        <w:t>מדינת ישראל נ' ברכאת</w:t>
      </w:r>
      <w:r w:rsidRPr="000006CD">
        <w:rPr>
          <w:rFonts w:ascii="David" w:hAnsi="David" w:cs="David" w:hint="cs"/>
          <w:sz w:val="24"/>
          <w:szCs w:val="24"/>
          <w:rtl/>
        </w:rPr>
        <w:t xml:space="preserve"> (הכ</w:t>
      </w:r>
      <w:r>
        <w:rPr>
          <w:rFonts w:ascii="David" w:hAnsi="David" w:cs="David" w:hint="cs"/>
          <w:sz w:val="24"/>
          <w:szCs w:val="24"/>
          <w:rtl/>
        </w:rPr>
        <w:t xml:space="preserve">רעת דין </w:t>
      </w:r>
      <w:r w:rsidRPr="000006CD">
        <w:rPr>
          <w:rFonts w:ascii="David" w:hAnsi="David" w:cs="David" w:hint="cs"/>
          <w:sz w:val="24"/>
          <w:szCs w:val="24"/>
          <w:rtl/>
        </w:rPr>
        <w:t xml:space="preserve">מיום 25.12.22) שכבר הוזכר לעיל ושניתן על ידי מותב זה, </w:t>
      </w:r>
      <w:r w:rsidRPr="002D1702">
        <w:rPr>
          <w:rFonts w:ascii="David" w:hAnsi="David" w:cs="David" w:hint="cs"/>
          <w:sz w:val="24"/>
          <w:szCs w:val="24"/>
          <w:u w:val="single"/>
          <w:rtl/>
        </w:rPr>
        <w:t>יזמו הנאשמים מפגש אלים עם המנוח</w:t>
      </w:r>
      <w:r w:rsidRPr="000006CD">
        <w:rPr>
          <w:rFonts w:ascii="David" w:hAnsi="David" w:cs="David" w:hint="cs"/>
          <w:sz w:val="24"/>
          <w:szCs w:val="24"/>
          <w:rtl/>
        </w:rPr>
        <w:t xml:space="preserve">. הנאשמים היכו את המנוח בידיהם, בבעיטות, ובאמצעות אבן, מה שהוביל לשטף דם בחלל בטנו של המנוח ולמותו. נקבע </w:t>
      </w:r>
      <w:r>
        <w:rPr>
          <w:rFonts w:ascii="David" w:hAnsi="David" w:cs="David" w:hint="cs"/>
          <w:sz w:val="24"/>
          <w:szCs w:val="24"/>
          <w:rtl/>
        </w:rPr>
        <w:t>שהנאשמים ה</w:t>
      </w:r>
      <w:r w:rsidRPr="00917C08">
        <w:rPr>
          <w:rFonts w:ascii="David" w:hAnsi="David" w:cs="David"/>
          <w:sz w:val="24"/>
          <w:szCs w:val="24"/>
          <w:rtl/>
        </w:rPr>
        <w:t>יו חדורי מטרה להפעיל נגד המנוח אלימות של ממש</w:t>
      </w:r>
      <w:r>
        <w:rPr>
          <w:rFonts w:ascii="David" w:hAnsi="David" w:cs="David" w:hint="cs"/>
          <w:sz w:val="24"/>
          <w:szCs w:val="24"/>
          <w:rtl/>
        </w:rPr>
        <w:t>, היו מודעים למעשיהם ולתוצאות האפשריות שלהם,</w:t>
      </w:r>
      <w:r w:rsidRPr="00917C08">
        <w:rPr>
          <w:rFonts w:ascii="David" w:hAnsi="David" w:cs="David"/>
          <w:sz w:val="24"/>
          <w:szCs w:val="24"/>
          <w:rtl/>
        </w:rPr>
        <w:t xml:space="preserve"> </w:t>
      </w:r>
      <w:r>
        <w:rPr>
          <w:rFonts w:ascii="David" w:hAnsi="David" w:cs="David" w:hint="cs"/>
          <w:sz w:val="24"/>
          <w:szCs w:val="24"/>
          <w:rtl/>
        </w:rPr>
        <w:t>ופעלו בשוויון נפש ל</w:t>
      </w:r>
      <w:r w:rsidRPr="00917C08">
        <w:rPr>
          <w:rFonts w:ascii="David" w:hAnsi="David" w:cs="David"/>
          <w:sz w:val="24"/>
          <w:szCs w:val="24"/>
          <w:rtl/>
        </w:rPr>
        <w:t xml:space="preserve">תוצאה הקטלנית. </w:t>
      </w:r>
      <w:r>
        <w:rPr>
          <w:rFonts w:ascii="David" w:hAnsi="David" w:cs="David" w:hint="cs"/>
          <w:sz w:val="24"/>
          <w:szCs w:val="24"/>
          <w:rtl/>
        </w:rPr>
        <w:t>לכן, הורשעו ברצח באדישות;</w:t>
      </w:r>
    </w:p>
    <w:p w:rsidR="00272CAC" w:rsidRPr="00917C08"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1218"/>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 </w:t>
      </w:r>
      <w:r>
        <w:rPr>
          <w:rFonts w:ascii="David" w:hAnsi="David" w:cs="David"/>
          <w:sz w:val="24"/>
          <w:szCs w:val="24"/>
          <w:rtl/>
        </w:rPr>
        <w:tab/>
      </w:r>
      <w:r>
        <w:rPr>
          <w:rFonts w:ascii="David" w:hAnsi="David" w:cs="David" w:hint="cs"/>
          <w:sz w:val="24"/>
          <w:szCs w:val="24"/>
          <w:rtl/>
        </w:rPr>
        <w:t>ב</w:t>
      </w:r>
      <w:r w:rsidRPr="000006CD">
        <w:rPr>
          <w:rFonts w:ascii="David" w:hAnsi="David" w:cs="David"/>
          <w:sz w:val="24"/>
          <w:szCs w:val="24"/>
          <w:rtl/>
        </w:rPr>
        <w:t>תפ"ח (</w:t>
      </w:r>
      <w:r w:rsidRPr="000006CD">
        <w:rPr>
          <w:rFonts w:ascii="David" w:hAnsi="David" w:cs="David" w:hint="cs"/>
          <w:sz w:val="24"/>
          <w:szCs w:val="24"/>
          <w:rtl/>
        </w:rPr>
        <w:t xml:space="preserve">מחוזי </w:t>
      </w:r>
      <w:r w:rsidRPr="000006CD">
        <w:rPr>
          <w:rFonts w:ascii="David" w:hAnsi="David" w:cs="David"/>
          <w:sz w:val="24"/>
          <w:szCs w:val="24"/>
          <w:rtl/>
        </w:rPr>
        <w:t>נצרת) 16149-10-20</w:t>
      </w:r>
      <w:r w:rsidRPr="000006CD">
        <w:rPr>
          <w:rFonts w:ascii="David" w:hAnsi="David" w:cs="David" w:hint="cs"/>
          <w:sz w:val="24"/>
          <w:szCs w:val="24"/>
          <w:rtl/>
        </w:rPr>
        <w:t xml:space="preserve"> </w:t>
      </w:r>
      <w:r w:rsidRPr="000006CD">
        <w:rPr>
          <w:rFonts w:ascii="Miriam" w:hAnsi="Miriam" w:cs="Miriam"/>
          <w:sz w:val="24"/>
          <w:szCs w:val="24"/>
          <w:rtl/>
        </w:rPr>
        <w:t>מדינת ישראל נ' אמארה</w:t>
      </w:r>
      <w:r w:rsidRPr="000006CD">
        <w:rPr>
          <w:rFonts w:ascii="David" w:hAnsi="David" w:cs="David" w:hint="cs"/>
          <w:sz w:val="24"/>
          <w:szCs w:val="24"/>
          <w:rtl/>
        </w:rPr>
        <w:t xml:space="preserve"> </w:t>
      </w:r>
      <w:r w:rsidRPr="000006CD">
        <w:rPr>
          <w:rFonts w:ascii="David" w:hAnsi="David" w:cs="David"/>
          <w:sz w:val="24"/>
          <w:szCs w:val="24"/>
          <w:rtl/>
        </w:rPr>
        <w:t>(הכרעת דין מיום 14.3.22)</w:t>
      </w:r>
      <w:r w:rsidRPr="000006CD">
        <w:rPr>
          <w:rFonts w:ascii="David" w:hAnsi="David" w:cs="David" w:hint="cs"/>
          <w:sz w:val="24"/>
          <w:szCs w:val="24"/>
          <w:rtl/>
        </w:rPr>
        <w:t xml:space="preserve"> הורשע הנאשם ברצח באדישות לאחר שבעקבות ויכוח שהתלהט, </w:t>
      </w:r>
      <w:r w:rsidRPr="002D1702">
        <w:rPr>
          <w:rFonts w:ascii="David" w:hAnsi="David" w:cs="David"/>
          <w:sz w:val="24"/>
          <w:szCs w:val="24"/>
          <w:u w:val="single"/>
          <w:rtl/>
        </w:rPr>
        <w:t>הנאשם אחז בסכין ונעץ א</w:t>
      </w:r>
      <w:r w:rsidRPr="002D1702">
        <w:rPr>
          <w:rFonts w:ascii="David" w:hAnsi="David" w:cs="David" w:hint="cs"/>
          <w:sz w:val="24"/>
          <w:szCs w:val="24"/>
          <w:u w:val="single"/>
          <w:rtl/>
        </w:rPr>
        <w:t>ותה בחזהו של המנוח</w:t>
      </w:r>
      <w:r>
        <w:rPr>
          <w:rFonts w:ascii="David" w:hAnsi="David" w:cs="David" w:hint="cs"/>
          <w:sz w:val="24"/>
          <w:szCs w:val="24"/>
          <w:rtl/>
        </w:rPr>
        <w:t>;</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F02D51" w:rsidRDefault="00272CAC" w:rsidP="00272CAC">
      <w:pPr>
        <w:pStyle w:val="ac"/>
        <w:tabs>
          <w:tab w:val="left" w:pos="1218"/>
          <w:tab w:val="left" w:pos="3686"/>
        </w:tabs>
        <w:spacing w:after="0" w:line="360" w:lineRule="auto"/>
        <w:ind w:left="360"/>
        <w:jc w:val="both"/>
        <w:rPr>
          <w:rFonts w:ascii="David" w:hAnsi="David" w:cs="David"/>
          <w:sz w:val="24"/>
          <w:szCs w:val="24"/>
          <w:rtl/>
        </w:rPr>
      </w:pPr>
      <w:r>
        <w:rPr>
          <w:rFonts w:ascii="David" w:hAnsi="David" w:cs="David" w:hint="cs"/>
          <w:sz w:val="24"/>
          <w:szCs w:val="24"/>
          <w:rtl/>
        </w:rPr>
        <w:t>(-)</w:t>
      </w:r>
      <w:r>
        <w:rPr>
          <w:rFonts w:ascii="David" w:hAnsi="David" w:cs="David"/>
          <w:sz w:val="24"/>
          <w:szCs w:val="24"/>
          <w:rtl/>
        </w:rPr>
        <w:tab/>
      </w:r>
      <w:r>
        <w:rPr>
          <w:rFonts w:ascii="David" w:hAnsi="David" w:cs="David" w:hint="cs"/>
          <w:sz w:val="24"/>
          <w:szCs w:val="24"/>
          <w:rtl/>
        </w:rPr>
        <w:t>ב</w:t>
      </w:r>
      <w:r w:rsidRPr="000006CD">
        <w:rPr>
          <w:rFonts w:ascii="David" w:hAnsi="David" w:cs="David"/>
          <w:sz w:val="24"/>
          <w:szCs w:val="24"/>
          <w:rtl/>
        </w:rPr>
        <w:t>תפ"ח (מחוזי ב"ש) 44105-09-19</w:t>
      </w:r>
      <w:r w:rsidRPr="000006CD">
        <w:rPr>
          <w:rFonts w:ascii="David" w:hAnsi="David" w:cs="David" w:hint="cs"/>
          <w:sz w:val="24"/>
          <w:szCs w:val="24"/>
          <w:rtl/>
        </w:rPr>
        <w:t xml:space="preserve"> </w:t>
      </w:r>
      <w:r w:rsidRPr="000006CD">
        <w:rPr>
          <w:rFonts w:ascii="Miriam" w:hAnsi="Miriam" w:cs="Miriam"/>
          <w:sz w:val="24"/>
          <w:szCs w:val="24"/>
          <w:rtl/>
        </w:rPr>
        <w:t>מדינת ישראל נ' סמוז'סקי</w:t>
      </w:r>
      <w:r w:rsidRPr="000006CD">
        <w:rPr>
          <w:rFonts w:ascii="David" w:hAnsi="David" w:cs="David" w:hint="cs"/>
          <w:sz w:val="24"/>
          <w:szCs w:val="24"/>
          <w:rtl/>
        </w:rPr>
        <w:t xml:space="preserve"> </w:t>
      </w:r>
      <w:r w:rsidRPr="000006CD">
        <w:rPr>
          <w:rFonts w:ascii="David" w:hAnsi="David" w:cs="David"/>
          <w:sz w:val="24"/>
          <w:szCs w:val="24"/>
          <w:rtl/>
        </w:rPr>
        <w:t>(</w:t>
      </w:r>
      <w:r>
        <w:rPr>
          <w:rFonts w:ascii="David" w:hAnsi="David" w:cs="David" w:hint="cs"/>
          <w:sz w:val="24"/>
          <w:szCs w:val="24"/>
          <w:rtl/>
        </w:rPr>
        <w:t xml:space="preserve">הכרעת דין מיום </w:t>
      </w:r>
      <w:r w:rsidRPr="000006CD">
        <w:rPr>
          <w:rFonts w:ascii="David" w:hAnsi="David" w:cs="David"/>
          <w:sz w:val="24"/>
          <w:szCs w:val="24"/>
          <w:rtl/>
        </w:rPr>
        <w:t>28.10.21)</w:t>
      </w:r>
      <w:r w:rsidRPr="000006CD">
        <w:rPr>
          <w:rFonts w:ascii="David" w:hAnsi="David" w:cs="David" w:hint="cs"/>
          <w:sz w:val="24"/>
          <w:szCs w:val="24"/>
          <w:rtl/>
        </w:rPr>
        <w:t xml:space="preserve"> הורשע הנאשם ברצח באדישות לאחר </w:t>
      </w:r>
      <w:r w:rsidRPr="002D1702">
        <w:rPr>
          <w:rFonts w:ascii="David" w:hAnsi="David" w:cs="David" w:hint="cs"/>
          <w:sz w:val="24"/>
          <w:szCs w:val="24"/>
          <w:u w:val="single"/>
          <w:rtl/>
        </w:rPr>
        <w:t>שהיכה את המנוח באמצעות מוט ברזל</w:t>
      </w:r>
      <w:r w:rsidRPr="000006CD">
        <w:rPr>
          <w:rFonts w:ascii="David" w:hAnsi="David" w:cs="David" w:hint="cs"/>
          <w:sz w:val="24"/>
          <w:szCs w:val="24"/>
          <w:rtl/>
        </w:rPr>
        <w:t xml:space="preserve"> מספר פעמ</w:t>
      </w:r>
      <w:r>
        <w:rPr>
          <w:rFonts w:ascii="David" w:hAnsi="David" w:cs="David" w:hint="cs"/>
          <w:sz w:val="24"/>
          <w:szCs w:val="24"/>
          <w:rtl/>
        </w:rPr>
        <w:t>ים בפלג גופו העליון כולל בראשו;</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המכנה המשותף של המקרים שהובאו לעיל הוא ברור. מדובר במקרי אלימות בהם הנאשמים </w:t>
      </w:r>
      <w:r w:rsidRPr="000006CD">
        <w:rPr>
          <w:rFonts w:ascii="David" w:hAnsi="David" w:cs="David" w:hint="cs"/>
          <w:sz w:val="24"/>
          <w:szCs w:val="24"/>
          <w:u w:val="single"/>
          <w:rtl/>
        </w:rPr>
        <w:t xml:space="preserve">נקטו באלימות קשה </w:t>
      </w:r>
      <w:r>
        <w:rPr>
          <w:rFonts w:ascii="David" w:hAnsi="David" w:cs="David" w:hint="cs"/>
          <w:sz w:val="24"/>
          <w:szCs w:val="24"/>
          <w:u w:val="single"/>
          <w:rtl/>
        </w:rPr>
        <w:t xml:space="preserve">ומכוונת </w:t>
      </w:r>
      <w:r w:rsidRPr="000006CD">
        <w:rPr>
          <w:rFonts w:ascii="David" w:hAnsi="David" w:cs="David" w:hint="cs"/>
          <w:sz w:val="24"/>
          <w:szCs w:val="24"/>
          <w:u w:val="single"/>
          <w:rtl/>
        </w:rPr>
        <w:t>כנגד המנוחים</w:t>
      </w:r>
      <w:r>
        <w:rPr>
          <w:rFonts w:ascii="David" w:hAnsi="David" w:cs="David" w:hint="cs"/>
          <w:sz w:val="24"/>
          <w:szCs w:val="24"/>
          <w:rtl/>
        </w:rPr>
        <w:t xml:space="preserve">. הם אמנם לא התכוונו מראש להמיתם, שאם לא כן היו מורשעים ברצח בכוונה, </w:t>
      </w:r>
      <w:r w:rsidRPr="005217DA">
        <w:rPr>
          <w:rFonts w:ascii="David" w:hAnsi="David" w:cs="David" w:hint="cs"/>
          <w:sz w:val="24"/>
          <w:szCs w:val="24"/>
          <w:u w:val="single"/>
          <w:rtl/>
        </w:rPr>
        <w:t xml:space="preserve">אך היו אדישים לאפשרות מותם של המנוחים נוכח האלימות </w:t>
      </w:r>
      <w:r w:rsidRPr="000006CD">
        <w:rPr>
          <w:rFonts w:ascii="David" w:hAnsi="David" w:cs="David" w:hint="cs"/>
          <w:sz w:val="24"/>
          <w:szCs w:val="24"/>
          <w:u w:val="single"/>
          <w:rtl/>
        </w:rPr>
        <w:t xml:space="preserve">שהפעילו </w:t>
      </w:r>
      <w:r>
        <w:rPr>
          <w:rFonts w:ascii="David" w:hAnsi="David" w:cs="David" w:hint="cs"/>
          <w:sz w:val="24"/>
          <w:szCs w:val="24"/>
          <w:u w:val="single"/>
          <w:rtl/>
        </w:rPr>
        <w:t xml:space="preserve">- </w:t>
      </w:r>
      <w:r w:rsidRPr="000006CD">
        <w:rPr>
          <w:rFonts w:ascii="David" w:hAnsi="David" w:cs="David" w:hint="cs"/>
          <w:sz w:val="24"/>
          <w:szCs w:val="24"/>
          <w:u w:val="single"/>
          <w:rtl/>
        </w:rPr>
        <w:t xml:space="preserve">דקירות </w:t>
      </w:r>
      <w:r>
        <w:rPr>
          <w:rFonts w:ascii="David" w:hAnsi="David" w:cs="David" w:hint="cs"/>
          <w:sz w:val="24"/>
          <w:szCs w:val="24"/>
          <w:u w:val="single"/>
          <w:rtl/>
        </w:rPr>
        <w:t xml:space="preserve">באמצעות נשק קר </w:t>
      </w:r>
      <w:r w:rsidRPr="000006CD">
        <w:rPr>
          <w:rFonts w:ascii="David" w:hAnsi="David" w:cs="David" w:hint="cs"/>
          <w:sz w:val="24"/>
          <w:szCs w:val="24"/>
          <w:u w:val="single"/>
          <w:rtl/>
        </w:rPr>
        <w:t>או אלימות קשה אחרת</w:t>
      </w:r>
      <w:r>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lastRenderedPageBreak/>
        <w:t>האבחנה ממקרנו ברורה. הנאשם בענייננו לא התכוון לחבול בחברו-המנוח. הוא נהג אמנם בטיפשות, לשון המעטה, ונטל סיכון בלתי סביר באשר לתוצאות מעשיו; אך לצד זאת הוא קיווה להצליח למנוע את מותו של המנוח, וזאת כפי שהורחב לעיל, מתוך תקווה שיש לה בסיס.</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sidRPr="00663F03">
        <w:rPr>
          <w:rFonts w:ascii="David" w:hAnsi="David" w:cs="David" w:hint="cs"/>
          <w:b/>
          <w:bCs/>
          <w:sz w:val="24"/>
          <w:szCs w:val="24"/>
          <w:u w:val="single"/>
          <w:rtl/>
        </w:rPr>
        <w:t>באשר לעבירת השיבוש</w:t>
      </w:r>
      <w:r w:rsidRPr="00663F03">
        <w:rPr>
          <w:rFonts w:ascii="David" w:hAnsi="David" w:cs="David" w:hint="cs"/>
          <w:sz w:val="24"/>
          <w:szCs w:val="24"/>
          <w:rtl/>
        </w:rPr>
        <w:t xml:space="preserve"> </w:t>
      </w:r>
      <w:r>
        <w:rPr>
          <w:rFonts w:ascii="David" w:hAnsi="David" w:cs="David"/>
          <w:sz w:val="24"/>
          <w:szCs w:val="24"/>
          <w:rtl/>
        </w:rPr>
        <w:t>–</w:t>
      </w:r>
      <w:r w:rsidRPr="00663F03">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b/>
          <w:bCs/>
          <w:sz w:val="24"/>
          <w:szCs w:val="24"/>
          <w:u w:val="single"/>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663F03">
        <w:rPr>
          <w:rFonts w:ascii="David" w:hAnsi="David" w:cs="David" w:hint="cs"/>
          <w:sz w:val="24"/>
          <w:szCs w:val="24"/>
          <w:rtl/>
        </w:rPr>
        <w:t>ס' 244 לחוק העונשין קובע כי</w:t>
      </w:r>
      <w:r>
        <w:rPr>
          <w:rFonts w:ascii="David" w:hAnsi="David" w:cs="David" w:hint="cs"/>
          <w:sz w:val="24"/>
          <w:szCs w:val="24"/>
          <w:rtl/>
        </w:rPr>
        <w:t>:</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663F03" w:rsidRDefault="00272CAC" w:rsidP="00272CAC">
      <w:pPr>
        <w:pStyle w:val="ac"/>
        <w:tabs>
          <w:tab w:val="left" w:pos="3686"/>
        </w:tabs>
        <w:spacing w:after="0" w:line="360" w:lineRule="auto"/>
        <w:ind w:left="360"/>
        <w:jc w:val="both"/>
        <w:rPr>
          <w:rFonts w:ascii="David" w:hAnsi="David" w:cs="David"/>
          <w:sz w:val="24"/>
          <w:szCs w:val="24"/>
          <w:rtl/>
        </w:rPr>
      </w:pPr>
      <w:r w:rsidRPr="00663F03">
        <w:rPr>
          <w:rFonts w:ascii="David" w:hAnsi="David" w:cs="David" w:hint="cs"/>
          <w:sz w:val="24"/>
          <w:szCs w:val="24"/>
          <w:rtl/>
        </w:rPr>
        <w:t>"</w:t>
      </w:r>
      <w:r w:rsidRPr="00663F03">
        <w:rPr>
          <w:rFonts w:ascii="David" w:hAnsi="David" w:cs="David"/>
          <w:b/>
          <w:bCs/>
          <w:sz w:val="24"/>
          <w:szCs w:val="24"/>
          <w:rtl/>
        </w:rPr>
        <w:t>הע</w:t>
      </w:r>
      <w:r w:rsidRPr="00663F03">
        <w:rPr>
          <w:rFonts w:ascii="David" w:hAnsi="David" w:cs="David" w:hint="cs"/>
          <w:b/>
          <w:bCs/>
          <w:sz w:val="24"/>
          <w:szCs w:val="24"/>
          <w:rtl/>
        </w:rPr>
        <w:t>וש</w:t>
      </w:r>
      <w:r w:rsidRPr="00663F03">
        <w:rPr>
          <w:rFonts w:ascii="David" w:hAnsi="David" w:cs="David"/>
          <w:b/>
          <w:bCs/>
          <w:sz w:val="24"/>
          <w:szCs w:val="24"/>
          <w:rtl/>
        </w:rPr>
        <w:t xml:space="preserve">ה </w:t>
      </w:r>
      <w:r w:rsidRPr="00663F03">
        <w:rPr>
          <w:rFonts w:ascii="David" w:hAnsi="David" w:cs="David" w:hint="cs"/>
          <w:b/>
          <w:bCs/>
          <w:sz w:val="24"/>
          <w:szCs w:val="24"/>
          <w:rtl/>
        </w:rPr>
        <w:t>דבר בכוונה למנוע או להכשיל הליך שיפוטי או להביא לידי עיוות דין, בין בסיכול הזמנתו של עד, בין בהעלמת ראיות ובין בדרך אחרת, דינו - מא</w:t>
      </w:r>
      <w:r w:rsidRPr="00663F03">
        <w:rPr>
          <w:rFonts w:ascii="David" w:hAnsi="David" w:cs="David"/>
          <w:b/>
          <w:bCs/>
          <w:sz w:val="24"/>
          <w:szCs w:val="24"/>
          <w:rtl/>
        </w:rPr>
        <w:t>סר</w:t>
      </w:r>
      <w:r w:rsidRPr="00663F03">
        <w:rPr>
          <w:rFonts w:ascii="David" w:hAnsi="David" w:cs="David" w:hint="cs"/>
          <w:b/>
          <w:bCs/>
          <w:sz w:val="24"/>
          <w:szCs w:val="24"/>
          <w:rtl/>
        </w:rPr>
        <w:t xml:space="preserve"> שלוש שנים; לענין זה, "הל</w:t>
      </w:r>
      <w:r w:rsidRPr="00663F03">
        <w:rPr>
          <w:rFonts w:ascii="David" w:hAnsi="David" w:cs="David"/>
          <w:b/>
          <w:bCs/>
          <w:sz w:val="24"/>
          <w:szCs w:val="24"/>
          <w:rtl/>
        </w:rPr>
        <w:t>יך</w:t>
      </w:r>
      <w:r w:rsidRPr="00663F03">
        <w:rPr>
          <w:rFonts w:ascii="David" w:hAnsi="David" w:cs="David" w:hint="cs"/>
          <w:b/>
          <w:bCs/>
          <w:sz w:val="24"/>
          <w:szCs w:val="24"/>
          <w:rtl/>
        </w:rPr>
        <w:t xml:space="preserve"> ש</w:t>
      </w:r>
      <w:r w:rsidRPr="00663F03">
        <w:rPr>
          <w:rFonts w:ascii="David" w:hAnsi="David" w:cs="David"/>
          <w:b/>
          <w:bCs/>
          <w:sz w:val="24"/>
          <w:szCs w:val="24"/>
          <w:rtl/>
        </w:rPr>
        <w:t>יפ</w:t>
      </w:r>
      <w:r w:rsidRPr="00663F03">
        <w:rPr>
          <w:rFonts w:ascii="David" w:hAnsi="David" w:cs="David" w:hint="cs"/>
          <w:b/>
          <w:bCs/>
          <w:sz w:val="24"/>
          <w:szCs w:val="24"/>
          <w:rtl/>
        </w:rPr>
        <w:t>וטי" - לר</w:t>
      </w:r>
      <w:r w:rsidRPr="00663F03">
        <w:rPr>
          <w:rFonts w:ascii="David" w:hAnsi="David" w:cs="David"/>
          <w:b/>
          <w:bCs/>
          <w:sz w:val="24"/>
          <w:szCs w:val="24"/>
          <w:rtl/>
        </w:rPr>
        <w:t>בו</w:t>
      </w:r>
      <w:r w:rsidRPr="00663F03">
        <w:rPr>
          <w:rFonts w:ascii="David" w:hAnsi="David" w:cs="David" w:hint="cs"/>
          <w:b/>
          <w:bCs/>
          <w:sz w:val="24"/>
          <w:szCs w:val="24"/>
          <w:rtl/>
        </w:rPr>
        <w:t>ת חקירה פלילית והוצאה לפועל של הוראת בית משפט"</w:t>
      </w:r>
      <w:r w:rsidRPr="00663F03">
        <w:rPr>
          <w:rFonts w:ascii="David" w:hAnsi="David" w:cs="David" w:hint="cs"/>
          <w:sz w:val="24"/>
          <w:szCs w:val="24"/>
          <w:rtl/>
        </w:rPr>
        <w:t xml:space="preserve">. </w:t>
      </w:r>
    </w:p>
    <w:p w:rsidR="00272CAC" w:rsidRPr="00663F03"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663F03">
        <w:rPr>
          <w:rFonts w:ascii="David" w:hAnsi="David" w:cs="David" w:hint="cs"/>
          <w:sz w:val="24"/>
          <w:szCs w:val="24"/>
          <w:rtl/>
        </w:rPr>
        <w:t>מדובר בעבירה התנהגות מסוג מטרה שיסודותיה מתגבשים בין אם הובילו המעשים לשיבוש ההליכים</w:t>
      </w:r>
      <w:r>
        <w:rPr>
          <w:rFonts w:ascii="David" w:hAnsi="David" w:cs="David" w:hint="cs"/>
          <w:sz w:val="24"/>
          <w:szCs w:val="24"/>
          <w:rtl/>
        </w:rPr>
        <w:t>,</w:t>
      </w:r>
      <w:r w:rsidRPr="00663F03">
        <w:rPr>
          <w:rFonts w:ascii="David" w:hAnsi="David" w:cs="David" w:hint="cs"/>
          <w:sz w:val="24"/>
          <w:szCs w:val="24"/>
          <w:rtl/>
        </w:rPr>
        <w:t xml:space="preserve"> א</w:t>
      </w:r>
      <w:r>
        <w:rPr>
          <w:rFonts w:ascii="David" w:hAnsi="David" w:cs="David" w:hint="cs"/>
          <w:sz w:val="24"/>
          <w:szCs w:val="24"/>
          <w:rtl/>
        </w:rPr>
        <w:t xml:space="preserve">ם </w:t>
      </w:r>
      <w:r w:rsidRPr="00663F03">
        <w:rPr>
          <w:rFonts w:ascii="David" w:hAnsi="David" w:cs="David" w:hint="cs"/>
          <w:sz w:val="24"/>
          <w:szCs w:val="24"/>
          <w:rtl/>
        </w:rPr>
        <w:t>לא</w:t>
      </w:r>
      <w:r>
        <w:rPr>
          <w:rFonts w:ascii="David" w:hAnsi="David" w:cs="David" w:hint="cs"/>
          <w:sz w:val="24"/>
          <w:szCs w:val="24"/>
          <w:rtl/>
        </w:rPr>
        <w:t>ו</w:t>
      </w:r>
      <w:r w:rsidRPr="00663F03">
        <w:rPr>
          <w:rFonts w:ascii="David" w:hAnsi="David" w:cs="David" w:hint="cs"/>
          <w:sz w:val="24"/>
          <w:szCs w:val="24"/>
          <w:rtl/>
        </w:rPr>
        <w:t xml:space="preserve"> (</w:t>
      </w:r>
      <w:hyperlink r:id="rId17" w:history="1">
        <w:r w:rsidRPr="00663F03">
          <w:rPr>
            <w:rFonts w:ascii="David" w:hAnsi="David" w:cs="David"/>
            <w:sz w:val="24"/>
            <w:szCs w:val="24"/>
            <w:rtl/>
          </w:rPr>
          <w:t xml:space="preserve">ע"פ 150/88 </w:t>
        </w:r>
        <w:r w:rsidRPr="00663F03">
          <w:rPr>
            <w:rFonts w:ascii="Miriam" w:hAnsi="Miriam" w:cs="Miriam"/>
            <w:sz w:val="24"/>
            <w:szCs w:val="24"/>
            <w:rtl/>
          </w:rPr>
          <w:t>לושי נ' מדינת ישראל</w:t>
        </w:r>
        <w:r w:rsidRPr="00663F03">
          <w:rPr>
            <w:rFonts w:ascii="David" w:hAnsi="David" w:cs="David"/>
            <w:sz w:val="24"/>
            <w:szCs w:val="24"/>
            <w:rtl/>
          </w:rPr>
          <w:t>, פ"ד מב</w:t>
        </w:r>
      </w:hyperlink>
      <w:r w:rsidRPr="00663F03">
        <w:rPr>
          <w:rFonts w:ascii="David" w:hAnsi="David" w:cs="David" w:hint="cs"/>
          <w:sz w:val="24"/>
          <w:szCs w:val="24"/>
          <w:rtl/>
        </w:rPr>
        <w:t>(2) 650, 658-659). משכך, העובדה שניסיונותיו של הנאשם להרחיק עצמו מביצ</w:t>
      </w:r>
      <w:r>
        <w:rPr>
          <w:rFonts w:ascii="David" w:hAnsi="David" w:cs="David" w:hint="cs"/>
          <w:sz w:val="24"/>
          <w:szCs w:val="24"/>
          <w:rtl/>
        </w:rPr>
        <w:t>ו</w:t>
      </w:r>
      <w:r w:rsidRPr="00663F03">
        <w:rPr>
          <w:rFonts w:ascii="David" w:hAnsi="David" w:cs="David" w:hint="cs"/>
          <w:sz w:val="24"/>
          <w:szCs w:val="24"/>
          <w:rtl/>
        </w:rPr>
        <w:t xml:space="preserve">ע העבירה לא צלחו, אינה יכולה לסייע לו בהקשר זה.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663F03">
        <w:rPr>
          <w:rFonts w:ascii="David" w:hAnsi="David" w:cs="David" w:hint="cs"/>
          <w:sz w:val="24"/>
          <w:szCs w:val="24"/>
          <w:rtl/>
        </w:rPr>
        <w:t xml:space="preserve">עוד נקבע כי </w:t>
      </w:r>
      <w:r>
        <w:rPr>
          <w:rFonts w:ascii="David" w:hAnsi="David" w:cs="David" w:hint="cs"/>
          <w:sz w:val="24"/>
          <w:szCs w:val="24"/>
          <w:rtl/>
        </w:rPr>
        <w:t xml:space="preserve">לצורך הוכחת הכוונה המיוחדת </w:t>
      </w:r>
      <w:r w:rsidRPr="00663F03">
        <w:rPr>
          <w:rFonts w:ascii="David" w:hAnsi="David" w:cs="David" w:hint="cs"/>
          <w:sz w:val="24"/>
          <w:szCs w:val="24"/>
          <w:rtl/>
        </w:rPr>
        <w:t>(</w:t>
      </w:r>
      <w:r>
        <w:rPr>
          <w:rFonts w:ascii="David" w:hAnsi="David" w:cs="David" w:hint="cs"/>
          <w:sz w:val="24"/>
          <w:szCs w:val="24"/>
          <w:rtl/>
        </w:rPr>
        <w:t>"</w:t>
      </w:r>
      <w:r w:rsidRPr="00663F03">
        <w:rPr>
          <w:rFonts w:ascii="David" w:hAnsi="David" w:cs="David" w:hint="cs"/>
          <w:b/>
          <w:bCs/>
          <w:sz w:val="24"/>
          <w:szCs w:val="24"/>
          <w:rtl/>
        </w:rPr>
        <w:t>בכוונה למנוע או להכשיל הליך שיפוטי</w:t>
      </w:r>
      <w:r w:rsidRPr="00663F03">
        <w:rPr>
          <w:rFonts w:ascii="David" w:hAnsi="David" w:cs="David" w:hint="cs"/>
          <w:sz w:val="24"/>
          <w:szCs w:val="24"/>
          <w:rtl/>
        </w:rPr>
        <w:t xml:space="preserve"> ..</w:t>
      </w:r>
      <w:r>
        <w:rPr>
          <w:rFonts w:ascii="David" w:hAnsi="David" w:cs="David" w:hint="cs"/>
          <w:sz w:val="24"/>
          <w:szCs w:val="24"/>
          <w:rtl/>
        </w:rPr>
        <w:t>"</w:t>
      </w:r>
      <w:r w:rsidRPr="00663F03">
        <w:rPr>
          <w:rFonts w:ascii="David" w:hAnsi="David" w:cs="David" w:hint="cs"/>
          <w:sz w:val="24"/>
          <w:szCs w:val="24"/>
          <w:rtl/>
        </w:rPr>
        <w:t>)</w:t>
      </w:r>
      <w:r>
        <w:rPr>
          <w:rFonts w:ascii="David" w:hAnsi="David" w:cs="David" w:hint="cs"/>
          <w:sz w:val="24"/>
          <w:szCs w:val="24"/>
          <w:rtl/>
        </w:rPr>
        <w:t xml:space="preserve"> </w:t>
      </w:r>
      <w:r w:rsidRPr="00663F03">
        <w:rPr>
          <w:rFonts w:ascii="David" w:hAnsi="David" w:cs="David" w:hint="cs"/>
          <w:sz w:val="24"/>
          <w:szCs w:val="24"/>
          <w:rtl/>
        </w:rPr>
        <w:t xml:space="preserve">ניתן להחיל את הלכת הצפיות הקבועה בס' 20(ב) לחוק העונשין. </w:t>
      </w:r>
      <w:r>
        <w:rPr>
          <w:rFonts w:ascii="David" w:hAnsi="David" w:cs="David" w:hint="cs"/>
          <w:sz w:val="24"/>
          <w:szCs w:val="24"/>
          <w:rtl/>
        </w:rPr>
        <w:t>אפנה בהקשר זה ל</w:t>
      </w:r>
      <w:r w:rsidRPr="00663F03">
        <w:rPr>
          <w:rFonts w:ascii="David" w:hAnsi="David" w:cs="David" w:hint="cs"/>
          <w:sz w:val="24"/>
          <w:szCs w:val="24"/>
          <w:rtl/>
        </w:rPr>
        <w:t xml:space="preserve">ע"פ 8721/04 </w:t>
      </w:r>
      <w:r w:rsidRPr="00663F03">
        <w:rPr>
          <w:rFonts w:ascii="Miriam" w:hAnsi="Miriam" w:cs="Miriam"/>
          <w:sz w:val="24"/>
          <w:szCs w:val="24"/>
          <w:rtl/>
        </w:rPr>
        <w:t>יחיעם אוחנה נ' מדינת ישראל</w:t>
      </w:r>
      <w:r>
        <w:rPr>
          <w:rFonts w:ascii="David" w:hAnsi="David" w:cs="David" w:hint="cs"/>
          <w:sz w:val="24"/>
          <w:szCs w:val="24"/>
          <w:rtl/>
        </w:rPr>
        <w:t>, פסקה ... (</w:t>
      </w:r>
      <w:r w:rsidRPr="00663F03">
        <w:rPr>
          <w:rFonts w:ascii="David" w:hAnsi="David" w:cs="David" w:hint="cs"/>
          <w:sz w:val="24"/>
          <w:szCs w:val="24"/>
          <w:rtl/>
        </w:rPr>
        <w:t>17.6.07</w:t>
      </w:r>
      <w:r>
        <w:rPr>
          <w:rFonts w:ascii="David" w:hAnsi="David" w:cs="David" w:hint="cs"/>
          <w:sz w:val="24"/>
          <w:szCs w:val="24"/>
          <w:rtl/>
        </w:rPr>
        <w:t xml:space="preserve">), שם </w:t>
      </w:r>
      <w:r w:rsidRPr="00663F03">
        <w:rPr>
          <w:rFonts w:ascii="David" w:hAnsi="David" w:cs="David" w:hint="cs"/>
          <w:sz w:val="24"/>
          <w:szCs w:val="24"/>
          <w:rtl/>
        </w:rPr>
        <w:t>נקבע כי:</w:t>
      </w:r>
      <w:r>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sidRPr="00663F03">
        <w:rPr>
          <w:rFonts w:ascii="David" w:hAnsi="David" w:cs="David" w:hint="cs"/>
          <w:b/>
          <w:bCs/>
          <w:sz w:val="24"/>
          <w:szCs w:val="24"/>
          <w:rtl/>
        </w:rPr>
        <w:t>"העלמת ראיות זמנית פוגעת במובהק בערכים המוגנים שביסוד עבירת שיבוש מהלכי משפט, והיא בעלת פוטנציאל ממשי להכשלת ההליך השיפוטי. לפיכך, מן הראוי להחיל על עבירה זו את הלכת הצפיות, ולהסיק את התקיימותו של היסוד הנפשי הנדרש מקום בו צפה הנאשם, כי העיכוב במסירת הראיות לידי המשטרה עלול להביא, בהסתברות קרובה לוודאי, לשיבוש מהלכי המשפט</w:t>
      </w:r>
      <w:r w:rsidRPr="00663F03">
        <w:rPr>
          <w:rFonts w:ascii="David" w:hAnsi="David" w:cs="David" w:hint="cs"/>
          <w:sz w:val="24"/>
          <w:szCs w:val="24"/>
          <w:rtl/>
        </w:rPr>
        <w:t xml:space="preserve">".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ודוק, </w:t>
      </w:r>
      <w:r w:rsidRPr="00663F03">
        <w:rPr>
          <w:rFonts w:ascii="David" w:hAnsi="David" w:cs="David" w:hint="cs"/>
          <w:sz w:val="24"/>
          <w:szCs w:val="24"/>
          <w:rtl/>
        </w:rPr>
        <w:t xml:space="preserve">הלכת הצפיות והשאלה באם הנאשם צפה בדרגת הסתברות של קרובה לוודאי כי אותה ראיה תטעה רשות שיפוטית, אינה  ערטילאית ואינה מתייחסת לאדם הסביר. מדובר בקביעה המתייחסת לנאשם העומד </w:t>
      </w:r>
      <w:r>
        <w:rPr>
          <w:rFonts w:ascii="David" w:hAnsi="David" w:cs="David" w:hint="cs"/>
          <w:sz w:val="24"/>
          <w:szCs w:val="24"/>
          <w:rtl/>
        </w:rPr>
        <w:t xml:space="preserve">לדין </w:t>
      </w:r>
      <w:r w:rsidRPr="00663F03">
        <w:rPr>
          <w:rFonts w:ascii="David" w:hAnsi="David" w:cs="David" w:hint="cs"/>
          <w:sz w:val="24"/>
          <w:szCs w:val="24"/>
          <w:rtl/>
        </w:rPr>
        <w:t xml:space="preserve">באותו רגע נתון (ור' בנדון, את ספרם של יורם רבין ויניב ואקי, דיני עונשין, מהדורת 2008, עמ' 336; וכן ע"פ 4597/00 </w:t>
      </w:r>
      <w:r w:rsidRPr="00663F03">
        <w:rPr>
          <w:rFonts w:ascii="Miriam" w:hAnsi="Miriam" w:cs="Miriam"/>
          <w:sz w:val="24"/>
          <w:szCs w:val="24"/>
          <w:rtl/>
        </w:rPr>
        <w:t>עובדיה נ' מדינת ישראל</w:t>
      </w:r>
      <w:r w:rsidRPr="00663F03">
        <w:rPr>
          <w:rFonts w:ascii="David" w:hAnsi="David" w:cs="David" w:hint="cs"/>
          <w:sz w:val="24"/>
          <w:szCs w:val="24"/>
          <w:rtl/>
        </w:rPr>
        <w:t xml:space="preserve">, 26.12.2000). </w:t>
      </w:r>
    </w:p>
    <w:p w:rsidR="00272CAC" w:rsidRPr="005217DA" w:rsidRDefault="00272CAC" w:rsidP="00272CAC">
      <w:pPr>
        <w:tabs>
          <w:tab w:val="left" w:pos="3686"/>
        </w:tabs>
        <w:spacing w:line="360" w:lineRule="auto"/>
        <w:jc w:val="both"/>
        <w:rPr>
          <w:rFonts w:ascii="David" w:hAnsi="David"/>
          <w:rtl/>
        </w:rPr>
      </w:pPr>
    </w:p>
    <w:p w:rsidR="00272CAC" w:rsidRPr="007C03EE" w:rsidRDefault="00272CAC" w:rsidP="00272CAC">
      <w:pPr>
        <w:pStyle w:val="ac"/>
        <w:numPr>
          <w:ilvl w:val="0"/>
          <w:numId w:val="14"/>
        </w:numPr>
        <w:tabs>
          <w:tab w:val="left" w:pos="3686"/>
        </w:tabs>
        <w:spacing w:after="0" w:line="360" w:lineRule="auto"/>
        <w:jc w:val="both"/>
        <w:rPr>
          <w:rFonts w:ascii="David" w:hAnsi="David" w:cs="David"/>
          <w:sz w:val="24"/>
          <w:szCs w:val="24"/>
          <w:rtl/>
        </w:rPr>
      </w:pPr>
      <w:r w:rsidRPr="007C03EE">
        <w:rPr>
          <w:rFonts w:ascii="David" w:hAnsi="David" w:cs="David"/>
          <w:sz w:val="24"/>
          <w:szCs w:val="24"/>
          <w:rtl/>
        </w:rPr>
        <w:lastRenderedPageBreak/>
        <w:t xml:space="preserve"> בענייננו, </w:t>
      </w:r>
      <w:r w:rsidRPr="007C03EE">
        <w:rPr>
          <w:rFonts w:ascii="David" w:hAnsi="David" w:cs="David" w:hint="cs"/>
          <w:sz w:val="24"/>
          <w:szCs w:val="24"/>
          <w:rtl/>
        </w:rPr>
        <w:t>לא היתה מחלוקת כי מיד לאחר שירה במנוח למוות, הנאשם הניח את אקדח על בטנו של המנוח, רץ למועדון שם שהו חבריו ליחידה ומסר להם את גרסת הכזב שכבר נדונה מספר פעמים לעיל ולפיה הוא (הנאשם) היה בשירותים בעת שהמנוח התאבד. הנאשם חזר על גרסה זו מספר פעמים באותו ע</w:t>
      </w:r>
      <w:r>
        <w:rPr>
          <w:rFonts w:ascii="David" w:hAnsi="David" w:cs="David" w:hint="cs"/>
          <w:sz w:val="24"/>
          <w:szCs w:val="24"/>
          <w:rtl/>
        </w:rPr>
        <w:t>ר</w:t>
      </w:r>
      <w:r w:rsidRPr="007C03EE">
        <w:rPr>
          <w:rFonts w:ascii="David" w:hAnsi="David" w:cs="David" w:hint="cs"/>
          <w:sz w:val="24"/>
          <w:szCs w:val="24"/>
          <w:rtl/>
        </w:rPr>
        <w:t>ב ו</w:t>
      </w:r>
      <w:r>
        <w:rPr>
          <w:rFonts w:ascii="David" w:hAnsi="David" w:cs="David" w:hint="cs"/>
          <w:sz w:val="24"/>
          <w:szCs w:val="24"/>
          <w:rtl/>
        </w:rPr>
        <w:t xml:space="preserve">כך </w:t>
      </w:r>
      <w:r w:rsidRPr="007C03EE">
        <w:rPr>
          <w:rFonts w:ascii="David" w:hAnsi="David" w:cs="David" w:hint="cs"/>
          <w:sz w:val="24"/>
          <w:szCs w:val="24"/>
          <w:rtl/>
        </w:rPr>
        <w:t xml:space="preserve">לאורך כל חקירותיו. סמוך לאחר הירי פנה הנאשם לשוטרת ענבל וביקש ממנה, פעמיים, שתשפוך על ידיו נוזל ניקוי אלכוג'ל בכמות משמעותית, באמצעותו שפשף את כפות ואמות ידיו. </w:t>
      </w:r>
    </w:p>
    <w:p w:rsidR="00272CAC" w:rsidRDefault="00272CAC" w:rsidP="00272CAC">
      <w:pPr>
        <w:pStyle w:val="ac"/>
        <w:spacing w:after="0" w:line="360" w:lineRule="auto"/>
        <w:ind w:left="360"/>
        <w:rPr>
          <w:rFonts w:ascii="David" w:hAnsi="David" w:cs="David"/>
          <w:sz w:val="24"/>
          <w:szCs w:val="24"/>
          <w:rtl/>
        </w:rPr>
      </w:pPr>
    </w:p>
    <w:p w:rsidR="00272CAC" w:rsidRPr="007C03EE" w:rsidRDefault="00272CAC" w:rsidP="00272CAC">
      <w:pPr>
        <w:pStyle w:val="ac"/>
        <w:numPr>
          <w:ilvl w:val="0"/>
          <w:numId w:val="14"/>
        </w:numPr>
        <w:tabs>
          <w:tab w:val="left" w:pos="3686"/>
        </w:tabs>
        <w:spacing w:after="0" w:line="360" w:lineRule="auto"/>
        <w:jc w:val="both"/>
        <w:rPr>
          <w:rFonts w:ascii="David" w:hAnsi="David" w:cs="David"/>
          <w:sz w:val="24"/>
          <w:szCs w:val="24"/>
          <w:rtl/>
        </w:rPr>
      </w:pPr>
      <w:r w:rsidRPr="007C03EE">
        <w:rPr>
          <w:rFonts w:ascii="David" w:hAnsi="David" w:cs="David" w:hint="cs"/>
          <w:sz w:val="24"/>
          <w:szCs w:val="24"/>
          <w:u w:val="single"/>
          <w:rtl/>
        </w:rPr>
        <w:t>לגבי מטרת מעשיו</w:t>
      </w:r>
      <w:r w:rsidRPr="007C03EE">
        <w:rPr>
          <w:rFonts w:ascii="David" w:hAnsi="David" w:cs="David" w:hint="cs"/>
          <w:sz w:val="24"/>
          <w:szCs w:val="24"/>
          <w:rtl/>
        </w:rPr>
        <w:t>, אישר הנאשם שעשה זאת משום ש".</w:t>
      </w:r>
      <w:r w:rsidRPr="007C03EE">
        <w:rPr>
          <w:rFonts w:ascii="David" w:hAnsi="David" w:cs="David" w:hint="cs"/>
          <w:b/>
          <w:bCs/>
          <w:sz w:val="24"/>
          <w:szCs w:val="24"/>
          <w:rtl/>
        </w:rPr>
        <w:t>.הייתי בלחץ בסערת רגשות והדבר היחידי שרציתי את זה לברוח מהמקום הזה ולהרחיק את עצמי.."</w:t>
      </w:r>
      <w:r w:rsidRPr="007C03EE">
        <w:rPr>
          <w:rFonts w:ascii="David" w:hAnsi="David" w:cs="David" w:hint="cs"/>
          <w:sz w:val="24"/>
          <w:szCs w:val="24"/>
          <w:rtl/>
        </w:rPr>
        <w:t xml:space="preserve"> (עדות הנאשם מיום 5.1.23, עמ' 614 שורות 19-21); וכן:</w:t>
      </w:r>
      <w:r>
        <w:rPr>
          <w:rFonts w:ascii="David" w:hAnsi="David" w:cs="David" w:hint="cs"/>
          <w:sz w:val="24"/>
          <w:szCs w:val="24"/>
          <w:rtl/>
        </w:rPr>
        <w:t xml:space="preserve"> </w:t>
      </w:r>
      <w:r w:rsidRPr="007C03EE">
        <w:rPr>
          <w:rFonts w:ascii="David" w:hAnsi="David" w:cs="David" w:hint="cs"/>
          <w:sz w:val="24"/>
          <w:szCs w:val="24"/>
          <w:rtl/>
        </w:rPr>
        <w:t>"</w:t>
      </w:r>
      <w:r w:rsidRPr="007C03EE">
        <w:rPr>
          <w:rFonts w:ascii="David" w:hAnsi="David" w:cs="David"/>
          <w:b/>
          <w:bCs/>
          <w:sz w:val="24"/>
          <w:szCs w:val="24"/>
          <w:rtl/>
        </w:rPr>
        <w:t>אני הייתי נסער ורציתי להרחיק את עצמי ולהגיד שהייתי כמה שיותר רחוק מהמקרה הזה</w:t>
      </w:r>
      <w:r w:rsidRPr="007C03EE">
        <w:rPr>
          <w:rFonts w:ascii="David" w:hAnsi="David" w:cs="David" w:hint="cs"/>
          <w:sz w:val="24"/>
          <w:szCs w:val="24"/>
          <w:rtl/>
        </w:rPr>
        <w:t>" (שם, עמ' עמוד 645 שורה 31);</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ובעמוד 646 סוכמו הדברים על ידי הנאשם באופן החד משמעי הבא:</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7C03EE" w:rsidRDefault="00272CAC" w:rsidP="00272CAC">
      <w:pPr>
        <w:pStyle w:val="af2"/>
        <w:spacing w:line="360" w:lineRule="auto"/>
        <w:ind w:left="2501" w:hanging="2141"/>
        <w:jc w:val="both"/>
        <w:rPr>
          <w:rFonts w:ascii="David" w:hAnsi="David" w:cs="David"/>
          <w:b/>
          <w:bCs/>
          <w:sz w:val="24"/>
          <w:szCs w:val="24"/>
        </w:rPr>
      </w:pPr>
      <w:r w:rsidRPr="007C03EE">
        <w:rPr>
          <w:rFonts w:ascii="David" w:hAnsi="David" w:cs="David"/>
          <w:b/>
          <w:bCs/>
          <w:sz w:val="24"/>
          <w:szCs w:val="24"/>
          <w:rtl/>
        </w:rPr>
        <w:t>עו"ד ר. יצחק :</w:t>
      </w:r>
      <w:r w:rsidRPr="007C03EE">
        <w:rPr>
          <w:rFonts w:ascii="David" w:hAnsi="David" w:cs="David"/>
          <w:b/>
          <w:bCs/>
          <w:sz w:val="24"/>
          <w:szCs w:val="24"/>
          <w:rtl/>
        </w:rPr>
        <w:tab/>
        <w:t xml:space="preserve">כן, בוודאי, בסוף אדוני מה שקרה בחדר והטענות שלו פה נסמכות על בסוף על (לא ברור) בכל הגרסה. לפני החדר אני רוצה לקפוץ לאחרי האירוע, </w:t>
      </w:r>
      <w:r w:rsidRPr="007C03EE">
        <w:rPr>
          <w:rFonts w:ascii="David" w:hAnsi="David" w:cs="David"/>
          <w:b/>
          <w:bCs/>
          <w:sz w:val="24"/>
          <w:szCs w:val="24"/>
          <w:u w:val="single"/>
          <w:rtl/>
        </w:rPr>
        <w:t>כשאמרת שמתי אלכוג'ל היום פעם ראשונה אמרת להרחיק את עצמי וגם בגלל הנשקים</w:t>
      </w:r>
      <w:r w:rsidRPr="007C03EE">
        <w:rPr>
          <w:rFonts w:ascii="David" w:hAnsi="David" w:cs="David"/>
          <w:b/>
          <w:bCs/>
          <w:sz w:val="24"/>
          <w:szCs w:val="24"/>
          <w:rtl/>
        </w:rPr>
        <w:t>.</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הנאשם :</w:t>
      </w:r>
      <w:r w:rsidRPr="007C03EE">
        <w:rPr>
          <w:rFonts w:ascii="David" w:hAnsi="David" w:cs="David"/>
          <w:b/>
          <w:bCs/>
          <w:sz w:val="24"/>
          <w:szCs w:val="24"/>
          <w:rtl/>
        </w:rPr>
        <w:tab/>
      </w:r>
      <w:r w:rsidRPr="007C03EE">
        <w:rPr>
          <w:rFonts w:ascii="David" w:hAnsi="David" w:cs="David"/>
          <w:b/>
          <w:bCs/>
          <w:sz w:val="24"/>
          <w:szCs w:val="24"/>
          <w:u w:val="single"/>
          <w:rtl/>
        </w:rPr>
        <w:t>נכון</w:t>
      </w:r>
      <w:r w:rsidRPr="007C03EE">
        <w:rPr>
          <w:rFonts w:ascii="David" w:hAnsi="David" w:cs="David"/>
          <w:b/>
          <w:bCs/>
          <w:sz w:val="24"/>
          <w:szCs w:val="24"/>
          <w:rtl/>
        </w:rPr>
        <w:t>.</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עו"ד ר. יצחק :</w:t>
      </w:r>
      <w:r w:rsidRPr="007C03EE">
        <w:rPr>
          <w:rFonts w:ascii="David" w:hAnsi="David" w:cs="David"/>
          <w:b/>
          <w:bCs/>
          <w:sz w:val="24"/>
          <w:szCs w:val="24"/>
          <w:rtl/>
        </w:rPr>
        <w:tab/>
        <w:t>למה אתה מתכוון להרחיק את עצמי? אגב פעם ראשונה שאמרת את זה עכשיו פה, מה זה להרחיק את עצמי?</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הנאשם:</w:t>
      </w:r>
      <w:r w:rsidRPr="007C03EE">
        <w:rPr>
          <w:rFonts w:ascii="David" w:hAnsi="David" w:cs="David"/>
          <w:b/>
          <w:bCs/>
          <w:sz w:val="24"/>
          <w:szCs w:val="24"/>
          <w:rtl/>
        </w:rPr>
        <w:tab/>
        <w:t xml:space="preserve"> אין לי תשובה לזה, </w:t>
      </w:r>
      <w:r w:rsidRPr="007C03EE">
        <w:rPr>
          <w:rFonts w:ascii="David" w:hAnsi="David" w:cs="David"/>
          <w:b/>
          <w:bCs/>
          <w:sz w:val="24"/>
          <w:szCs w:val="24"/>
          <w:u w:val="single"/>
          <w:rtl/>
        </w:rPr>
        <w:t>עשיתי את כל הפעולות בכדי שאני אוכל לברוח כמה שיותר מהר כדי שאני אוכל לצאת, לא ידעתי איך אני יוצא מהדבר הזה</w:t>
      </w:r>
      <w:r w:rsidRPr="007C03EE">
        <w:rPr>
          <w:rFonts w:ascii="David" w:hAnsi="David" w:cs="David"/>
          <w:b/>
          <w:bCs/>
          <w:sz w:val="24"/>
          <w:szCs w:val="24"/>
          <w:rtl/>
        </w:rPr>
        <w:t>, זה היה לי קשה, אין לי תשובה לזה.</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עו"ד ר. יצחק :</w:t>
      </w:r>
      <w:r w:rsidRPr="007C03EE">
        <w:rPr>
          <w:rFonts w:ascii="David" w:hAnsi="David" w:cs="David"/>
          <w:b/>
          <w:bCs/>
          <w:sz w:val="24"/>
          <w:szCs w:val="24"/>
          <w:rtl/>
        </w:rPr>
        <w:tab/>
        <w:t>אני אציע לך תשובה.</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כב' הש' י. ליפשיץ :</w:t>
      </w:r>
      <w:r w:rsidRPr="007C03EE">
        <w:rPr>
          <w:rFonts w:ascii="David" w:hAnsi="David" w:cs="David"/>
          <w:b/>
          <w:bCs/>
          <w:sz w:val="24"/>
          <w:szCs w:val="24"/>
          <w:rtl/>
        </w:rPr>
        <w:tab/>
        <w:t>עורך הדין יגיד שלהרחיק את עצמי זה פשוט שלא ידעו שזה אתה ירית.</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עו"ד ר. יצחק :</w:t>
      </w:r>
      <w:r w:rsidRPr="007C03EE">
        <w:rPr>
          <w:rFonts w:ascii="David" w:hAnsi="David" w:cs="David"/>
          <w:b/>
          <w:bCs/>
          <w:sz w:val="24"/>
          <w:szCs w:val="24"/>
          <w:rtl/>
        </w:rPr>
        <w:tab/>
        <w:t>היו שרידים.</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כב' הש' י. ליפשיץ :</w:t>
      </w:r>
      <w:r w:rsidRPr="007C03EE">
        <w:rPr>
          <w:rFonts w:ascii="David" w:hAnsi="David" w:cs="David"/>
          <w:b/>
          <w:bCs/>
          <w:sz w:val="24"/>
          <w:szCs w:val="24"/>
          <w:rtl/>
        </w:rPr>
        <w:tab/>
        <w:t>זו המשמעות הפשוטה של להרחיק את עצמי.</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עו"ד ר. יצחק :</w:t>
      </w:r>
      <w:r w:rsidRPr="007C03EE">
        <w:rPr>
          <w:rFonts w:ascii="David" w:hAnsi="David" w:cs="David"/>
          <w:b/>
          <w:bCs/>
          <w:sz w:val="24"/>
          <w:szCs w:val="24"/>
          <w:rtl/>
        </w:rPr>
        <w:tab/>
        <w:t>או קיי.</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כב' הש' י. ליפשיץ :</w:t>
      </w:r>
      <w:r w:rsidRPr="007C03EE">
        <w:rPr>
          <w:rFonts w:ascii="David" w:hAnsi="David" w:cs="David"/>
          <w:b/>
          <w:bCs/>
          <w:sz w:val="24"/>
          <w:szCs w:val="24"/>
          <w:rtl/>
        </w:rPr>
        <w:tab/>
        <w:t>אתה מסכים עם הטענה הזאת? להרחיק כדי שאף אחד לא יאשים אותך.</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הנאשם :</w:t>
      </w:r>
      <w:r w:rsidRPr="007C03EE">
        <w:rPr>
          <w:rFonts w:ascii="David" w:hAnsi="David" w:cs="David"/>
          <w:b/>
          <w:bCs/>
          <w:sz w:val="24"/>
          <w:szCs w:val="24"/>
          <w:rtl/>
        </w:rPr>
        <w:tab/>
        <w:t xml:space="preserve">כבודו שרידי ירי יהיו עלי שרידי בכל מקרה כי לאחר המקרה ביקשו ממני לאסוף מכל היחידה שלי את הנשקים ואפשר גם לראות את זה במצלמות שביקשו ממני לאסוף את כל הנשקים, אספתי את כל הנשקים ושמתי אותם </w:t>
      </w:r>
      <w:r w:rsidRPr="007C03EE">
        <w:rPr>
          <w:rFonts w:ascii="David" w:hAnsi="David" w:cs="David"/>
          <w:b/>
          <w:bCs/>
          <w:sz w:val="24"/>
          <w:szCs w:val="24"/>
          <w:rtl/>
        </w:rPr>
        <w:lastRenderedPageBreak/>
        <w:t xml:space="preserve">ביומן, לאחר שחזרנו לכיוון המקורים של הבנות ביקשתי אלכוג'ל ושמתי על הידיים, </w:t>
      </w:r>
      <w:r w:rsidRPr="007C03EE">
        <w:rPr>
          <w:rFonts w:ascii="David" w:hAnsi="David" w:cs="David"/>
          <w:b/>
          <w:bCs/>
          <w:sz w:val="24"/>
          <w:szCs w:val="24"/>
          <w:u w:val="single"/>
          <w:rtl/>
        </w:rPr>
        <w:t>אז אני אמרתי ששמתי אלכוג'ל על הידיים גם בשביל להרחיק את עצמי וגם בשביל לנקות את הידיים שלי</w:t>
      </w:r>
      <w:r w:rsidRPr="007C03EE">
        <w:rPr>
          <w:rFonts w:ascii="David" w:hAnsi="David" w:cs="David"/>
          <w:b/>
          <w:bCs/>
          <w:sz w:val="24"/>
          <w:szCs w:val="24"/>
          <w:rtl/>
        </w:rPr>
        <w:t>.</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כב' הש' י. ליפשיץ :</w:t>
      </w:r>
      <w:r w:rsidRPr="007C03EE">
        <w:rPr>
          <w:rFonts w:ascii="David" w:hAnsi="David" w:cs="David"/>
          <w:b/>
          <w:bCs/>
          <w:sz w:val="24"/>
          <w:szCs w:val="24"/>
          <w:rtl/>
        </w:rPr>
        <w:tab/>
        <w:t xml:space="preserve">אז מה שהוא שואל כשאתה אומר להרחיק את עצמי מה הכוונה והצענו אפשרות, לא שזאת עמדתנו בהכרח אבל </w:t>
      </w:r>
      <w:r w:rsidRPr="007C03EE">
        <w:rPr>
          <w:rFonts w:ascii="David" w:hAnsi="David" w:cs="David"/>
          <w:b/>
          <w:bCs/>
          <w:sz w:val="24"/>
          <w:szCs w:val="24"/>
          <w:u w:val="single"/>
          <w:rtl/>
        </w:rPr>
        <w:t>אחת המשמעויות ההגיוניות להרחיק כדי שלא יעצרו אותך, לא יגישו כתב אישום, ושלא יגידו שירית</w:t>
      </w:r>
      <w:r w:rsidRPr="007C03EE">
        <w:rPr>
          <w:rFonts w:ascii="David" w:hAnsi="David" w:cs="David"/>
          <w:b/>
          <w:bCs/>
          <w:sz w:val="24"/>
          <w:szCs w:val="24"/>
          <w:rtl/>
        </w:rPr>
        <w:t>.</w:t>
      </w:r>
    </w:p>
    <w:p w:rsidR="00272CAC" w:rsidRPr="007C03EE" w:rsidRDefault="00272CAC" w:rsidP="00272CAC">
      <w:pPr>
        <w:pStyle w:val="af2"/>
        <w:spacing w:line="360" w:lineRule="auto"/>
        <w:ind w:left="2501" w:hanging="2141"/>
        <w:jc w:val="both"/>
        <w:rPr>
          <w:rFonts w:ascii="David" w:hAnsi="David" w:cs="David"/>
          <w:b/>
          <w:bCs/>
          <w:sz w:val="24"/>
          <w:szCs w:val="24"/>
          <w:rtl/>
        </w:rPr>
      </w:pPr>
      <w:r w:rsidRPr="007C03EE">
        <w:rPr>
          <w:rFonts w:ascii="David" w:hAnsi="David" w:cs="David"/>
          <w:b/>
          <w:bCs/>
          <w:sz w:val="24"/>
          <w:szCs w:val="24"/>
          <w:rtl/>
        </w:rPr>
        <w:t>הנאשם :</w:t>
      </w:r>
      <w:r w:rsidRPr="007C03EE">
        <w:rPr>
          <w:rFonts w:ascii="David" w:hAnsi="David" w:cs="David"/>
          <w:b/>
          <w:bCs/>
          <w:sz w:val="24"/>
          <w:szCs w:val="24"/>
          <w:rtl/>
        </w:rPr>
        <w:tab/>
      </w:r>
      <w:r w:rsidRPr="007C03EE">
        <w:rPr>
          <w:rFonts w:ascii="David" w:hAnsi="David" w:cs="David"/>
          <w:b/>
          <w:bCs/>
          <w:sz w:val="24"/>
          <w:szCs w:val="24"/>
          <w:u w:val="single"/>
          <w:rtl/>
        </w:rPr>
        <w:t>כן</w:t>
      </w:r>
      <w:r w:rsidRPr="007C03EE">
        <w:rPr>
          <w:rFonts w:ascii="David" w:hAnsi="David" w:cs="David"/>
          <w:b/>
          <w:bCs/>
          <w:sz w:val="24"/>
          <w:szCs w:val="24"/>
          <w:rtl/>
        </w:rPr>
        <w:t>.</w:t>
      </w:r>
      <w:r w:rsidRPr="007C03EE">
        <w:rPr>
          <w:rFonts w:ascii="David" w:hAnsi="David" w:cs="David" w:hint="cs"/>
          <w:b/>
          <w:bCs/>
          <w:sz w:val="24"/>
          <w:szCs w:val="24"/>
          <w:rtl/>
        </w:rPr>
        <w:t>"</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Pr="00C45388" w:rsidRDefault="00272CAC" w:rsidP="00272CAC">
      <w:pPr>
        <w:pStyle w:val="ac"/>
        <w:tabs>
          <w:tab w:val="left" w:pos="3686"/>
        </w:tabs>
        <w:spacing w:after="0" w:line="360" w:lineRule="auto"/>
        <w:ind w:left="360"/>
        <w:jc w:val="both"/>
        <w:rPr>
          <w:rFonts w:ascii="David" w:hAnsi="David" w:cs="David"/>
          <w:sz w:val="24"/>
          <w:szCs w:val="24"/>
          <w:rtl/>
        </w:rPr>
      </w:pPr>
      <w:r>
        <w:rPr>
          <w:rFonts w:ascii="David" w:hAnsi="David" w:cs="David" w:hint="cs"/>
          <w:sz w:val="24"/>
          <w:szCs w:val="24"/>
          <w:rtl/>
        </w:rPr>
        <w:t xml:space="preserve">מדובר בהודאה ברורה של הנאשם במיוחס לו, וכל המוסיף גורע. </w:t>
      </w:r>
    </w:p>
    <w:p w:rsidR="00272CAC" w:rsidRDefault="00272CAC" w:rsidP="00272CAC">
      <w:pPr>
        <w:spacing w:line="360" w:lineRule="auto"/>
        <w:jc w:val="both"/>
        <w:rPr>
          <w:rFonts w:ascii="David" w:hAnsi="David"/>
          <w:rtl/>
        </w:rPr>
      </w:pPr>
    </w:p>
    <w:p w:rsidR="00272CAC" w:rsidRPr="00050741" w:rsidRDefault="00272CAC" w:rsidP="00272CAC">
      <w:pPr>
        <w:spacing w:line="360" w:lineRule="auto"/>
        <w:ind w:firstLine="360"/>
        <w:jc w:val="both"/>
        <w:rPr>
          <w:rFonts w:ascii="David" w:hAnsi="David"/>
          <w:b/>
          <w:bCs/>
          <w:u w:val="single"/>
          <w:rtl/>
        </w:rPr>
      </w:pPr>
      <w:r w:rsidRPr="00050741">
        <w:rPr>
          <w:rFonts w:ascii="David" w:hAnsi="David" w:hint="cs"/>
          <w:b/>
          <w:bCs/>
          <w:u w:val="single"/>
          <w:rtl/>
        </w:rPr>
        <w:t>סיכום</w:t>
      </w: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Pr>
          <w:rFonts w:ascii="David" w:hAnsi="David" w:cs="David" w:hint="cs"/>
          <w:sz w:val="24"/>
          <w:szCs w:val="24"/>
          <w:rtl/>
        </w:rPr>
        <w:t xml:space="preserve">נוכח מסקנתי שניתנה לגופו של עניין ועל בסיס ניתוח הראיות והדין, התייתר הדיון בטענת ההגנה ולפיה יש להרשיע את הנאשם בעבירה קלה יותר מזו שיוחסה לו וזאת משום התנהלות המאשימה. ההגנה כפי שצוין לעיל, טענה ל"הגנה מן הצדק" משום אכיפה בררנית ועל בסיס טענות נוספות. דיון בסוגיה זו יהיה בנסיבות העניין ובשים לב למסקנתי לעיל, תיאורטי גרידא ולא זו מטרת הכרעת הדין. </w:t>
      </w:r>
    </w:p>
    <w:p w:rsidR="00272CAC" w:rsidRDefault="00272CAC" w:rsidP="00272CAC">
      <w:pPr>
        <w:pStyle w:val="ac"/>
        <w:tabs>
          <w:tab w:val="left" w:pos="3686"/>
        </w:tabs>
        <w:spacing w:after="0" w:line="360" w:lineRule="auto"/>
        <w:ind w:left="360"/>
        <w:jc w:val="both"/>
        <w:rPr>
          <w:rFonts w:ascii="David" w:hAnsi="David" w:cs="David"/>
          <w:sz w:val="24"/>
          <w:szCs w:val="24"/>
          <w:rtl/>
        </w:rPr>
      </w:pPr>
    </w:p>
    <w:p w:rsidR="00272CAC" w:rsidRDefault="00272CAC" w:rsidP="00272CAC">
      <w:pPr>
        <w:pStyle w:val="ac"/>
        <w:numPr>
          <w:ilvl w:val="0"/>
          <w:numId w:val="14"/>
        </w:numPr>
        <w:tabs>
          <w:tab w:val="left" w:pos="3686"/>
        </w:tabs>
        <w:spacing w:after="0" w:line="360" w:lineRule="auto"/>
        <w:jc w:val="both"/>
        <w:rPr>
          <w:rFonts w:ascii="David" w:hAnsi="David" w:cs="David"/>
          <w:sz w:val="24"/>
          <w:szCs w:val="24"/>
        </w:rPr>
      </w:pPr>
      <w:r w:rsidRPr="007C03EE">
        <w:rPr>
          <w:rFonts w:ascii="David" w:hAnsi="David" w:cs="David" w:hint="cs"/>
          <w:b/>
          <w:bCs/>
          <w:sz w:val="24"/>
          <w:szCs w:val="24"/>
          <w:rtl/>
        </w:rPr>
        <w:t>סוף דבר לו דעתי תשמע</w:t>
      </w:r>
      <w:r>
        <w:rPr>
          <w:rFonts w:ascii="David" w:hAnsi="David" w:cs="David" w:hint="cs"/>
          <w:sz w:val="24"/>
          <w:szCs w:val="24"/>
          <w:rtl/>
        </w:rPr>
        <w:t>,</w:t>
      </w:r>
      <w:r w:rsidRPr="007C03EE">
        <w:rPr>
          <w:rFonts w:ascii="David" w:hAnsi="David" w:cs="David" w:hint="cs"/>
          <w:sz w:val="24"/>
          <w:szCs w:val="24"/>
          <w:rtl/>
        </w:rPr>
        <w:t xml:space="preserve"> יורשע </w:t>
      </w:r>
      <w:r>
        <w:rPr>
          <w:rFonts w:ascii="David" w:hAnsi="David" w:cs="David" w:hint="cs"/>
          <w:sz w:val="24"/>
          <w:szCs w:val="24"/>
          <w:rtl/>
        </w:rPr>
        <w:t xml:space="preserve">הנאשם </w:t>
      </w:r>
      <w:r>
        <w:rPr>
          <w:rFonts w:ascii="David" w:hAnsi="David" w:cs="David"/>
          <w:sz w:val="24"/>
          <w:szCs w:val="24"/>
          <w:rtl/>
        </w:rPr>
        <w:t>–</w:t>
      </w:r>
      <w:r>
        <w:rPr>
          <w:rFonts w:ascii="David" w:hAnsi="David" w:cs="David" w:hint="cs"/>
          <w:sz w:val="24"/>
          <w:szCs w:val="24"/>
          <w:rtl/>
        </w:rPr>
        <w:t xml:space="preserve"> ככל שהדברים נוגעים לאישום הראשון של כתב האישום המתוקן - </w:t>
      </w:r>
      <w:r w:rsidRPr="007C03EE">
        <w:rPr>
          <w:rFonts w:ascii="David" w:hAnsi="David" w:cs="David" w:hint="cs"/>
          <w:sz w:val="24"/>
          <w:szCs w:val="24"/>
          <w:rtl/>
        </w:rPr>
        <w:t xml:space="preserve">בעבירה של </w:t>
      </w:r>
      <w:r w:rsidRPr="007B1CC4">
        <w:rPr>
          <w:rFonts w:ascii="David" w:hAnsi="David" w:cs="David" w:hint="cs"/>
          <w:b/>
          <w:bCs/>
          <w:sz w:val="24"/>
          <w:szCs w:val="24"/>
          <w:rtl/>
        </w:rPr>
        <w:t>המתה בקלות דעת</w:t>
      </w:r>
      <w:r w:rsidRPr="007C03EE">
        <w:rPr>
          <w:rFonts w:ascii="David" w:hAnsi="David" w:cs="David" w:hint="cs"/>
          <w:sz w:val="24"/>
          <w:szCs w:val="24"/>
          <w:rtl/>
        </w:rPr>
        <w:t>, לפי ס' 301ג' לחוק העונשין</w:t>
      </w:r>
      <w:r>
        <w:rPr>
          <w:rFonts w:ascii="David" w:hAnsi="David" w:cs="David" w:hint="cs"/>
          <w:sz w:val="24"/>
          <w:szCs w:val="24"/>
          <w:rtl/>
        </w:rPr>
        <w:t xml:space="preserve">, </w:t>
      </w:r>
      <w:r w:rsidRPr="007C03EE">
        <w:rPr>
          <w:rFonts w:ascii="David" w:hAnsi="David" w:cs="David" w:hint="cs"/>
          <w:sz w:val="24"/>
          <w:szCs w:val="24"/>
          <w:rtl/>
        </w:rPr>
        <w:t xml:space="preserve">וזאת חלף העבירה שיוחסה לו </w:t>
      </w:r>
      <w:r>
        <w:rPr>
          <w:rFonts w:ascii="David" w:hAnsi="David" w:cs="David" w:hint="cs"/>
          <w:sz w:val="24"/>
          <w:szCs w:val="24"/>
          <w:rtl/>
        </w:rPr>
        <w:t>(</w:t>
      </w:r>
      <w:r w:rsidRPr="007C03EE">
        <w:rPr>
          <w:rFonts w:ascii="David" w:hAnsi="David" w:cs="David" w:hint="cs"/>
          <w:sz w:val="24"/>
          <w:szCs w:val="24"/>
          <w:rtl/>
        </w:rPr>
        <w:t>רצח באדישות לפי ס' 300(א) לחוק העונשין</w:t>
      </w:r>
      <w:r>
        <w:rPr>
          <w:rFonts w:ascii="David" w:hAnsi="David" w:cs="David" w:hint="cs"/>
          <w:sz w:val="24"/>
          <w:szCs w:val="24"/>
          <w:rtl/>
        </w:rPr>
        <w:t xml:space="preserve">); וכן בעבירה של </w:t>
      </w:r>
      <w:r w:rsidRPr="007B1CC4">
        <w:rPr>
          <w:rFonts w:ascii="David" w:hAnsi="David" w:cs="David" w:hint="cs"/>
          <w:b/>
          <w:bCs/>
          <w:sz w:val="24"/>
          <w:szCs w:val="24"/>
          <w:rtl/>
        </w:rPr>
        <w:t>שיבוש מהלכי משפט</w:t>
      </w:r>
      <w:r>
        <w:rPr>
          <w:rFonts w:ascii="David" w:hAnsi="David" w:cs="David" w:hint="cs"/>
          <w:sz w:val="24"/>
          <w:szCs w:val="24"/>
          <w:rtl/>
        </w:rPr>
        <w:t>, לפי ס' 244 לחוק העונשין.</w:t>
      </w:r>
    </w:p>
    <w:p w:rsidR="00272CAC" w:rsidRPr="008A0BE7" w:rsidRDefault="00272CAC" w:rsidP="00272CAC">
      <w:pPr>
        <w:pStyle w:val="ac"/>
        <w:rPr>
          <w:rFonts w:ascii="David" w:hAnsi="David" w:cs="David"/>
          <w:sz w:val="24"/>
          <w:szCs w:val="24"/>
          <w:rtl/>
        </w:rPr>
      </w:pPr>
    </w:p>
    <w:p w:rsidR="00272CAC" w:rsidRPr="00CC40FD" w:rsidRDefault="00272CAC" w:rsidP="00272CAC">
      <w:pPr>
        <w:pStyle w:val="ac"/>
        <w:tabs>
          <w:tab w:val="left" w:pos="3686"/>
        </w:tabs>
        <w:spacing w:after="0" w:line="360" w:lineRule="auto"/>
        <w:ind w:left="360"/>
        <w:jc w:val="both"/>
        <w:rPr>
          <w:rFonts w:ascii="David" w:hAnsi="David" w:cs="David"/>
          <w:sz w:val="24"/>
          <w:szCs w:val="24"/>
        </w:rPr>
      </w:pPr>
      <w:r>
        <w:rPr>
          <w:rFonts w:ascii="David" w:hAnsi="David" w:cs="David" w:hint="cs"/>
          <w:sz w:val="24"/>
          <w:szCs w:val="24"/>
          <w:rtl/>
        </w:rPr>
        <w:t xml:space="preserve">בנוסף, יורשע הנאשם </w:t>
      </w:r>
      <w:r>
        <w:rPr>
          <w:rFonts w:ascii="David" w:hAnsi="David" w:cs="David"/>
          <w:sz w:val="24"/>
          <w:szCs w:val="24"/>
          <w:rtl/>
        </w:rPr>
        <w:t>–</w:t>
      </w:r>
      <w:r>
        <w:rPr>
          <w:rFonts w:ascii="David" w:hAnsi="David" w:cs="David" w:hint="cs"/>
          <w:sz w:val="24"/>
          <w:szCs w:val="24"/>
          <w:rtl/>
        </w:rPr>
        <w:t xml:space="preserve"> על בסיס הודייתו </w:t>
      </w:r>
      <w:r>
        <w:rPr>
          <w:rFonts w:ascii="David" w:hAnsi="David" w:cs="David"/>
          <w:sz w:val="24"/>
          <w:szCs w:val="24"/>
          <w:rtl/>
        </w:rPr>
        <w:t>–</w:t>
      </w:r>
      <w:r>
        <w:rPr>
          <w:rFonts w:ascii="David" w:hAnsi="David" w:cs="David" w:hint="cs"/>
          <w:sz w:val="24"/>
          <w:szCs w:val="24"/>
          <w:rtl/>
        </w:rPr>
        <w:t xml:space="preserve"> בעבירות שיוחסו לו באישום השני של כתב האישום המתוקן, והן: </w:t>
      </w:r>
      <w:r w:rsidRPr="00567A4E">
        <w:rPr>
          <w:rFonts w:ascii="David" w:hAnsi="David" w:cs="David"/>
          <w:b/>
          <w:bCs/>
          <w:sz w:val="24"/>
          <w:szCs w:val="24"/>
          <w:rtl/>
        </w:rPr>
        <w:t>איומים</w:t>
      </w:r>
      <w:r w:rsidRPr="00CC40FD">
        <w:rPr>
          <w:rFonts w:ascii="David" w:hAnsi="David" w:cs="David"/>
          <w:sz w:val="24"/>
          <w:szCs w:val="24"/>
          <w:rtl/>
        </w:rPr>
        <w:t xml:space="preserve"> (ריבוי </w:t>
      </w:r>
      <w:r>
        <w:rPr>
          <w:rFonts w:ascii="David" w:hAnsi="David" w:cs="David" w:hint="cs"/>
          <w:sz w:val="24"/>
          <w:szCs w:val="24"/>
          <w:rtl/>
        </w:rPr>
        <w:t>מקרים</w:t>
      </w:r>
      <w:r w:rsidRPr="00CC40FD">
        <w:rPr>
          <w:rFonts w:ascii="David" w:hAnsi="David" w:cs="David"/>
          <w:sz w:val="24"/>
          <w:szCs w:val="24"/>
          <w:rtl/>
        </w:rPr>
        <w:t>)</w:t>
      </w:r>
      <w:r>
        <w:rPr>
          <w:rFonts w:ascii="David" w:hAnsi="David" w:cs="David" w:hint="cs"/>
          <w:sz w:val="24"/>
          <w:szCs w:val="24"/>
          <w:rtl/>
        </w:rPr>
        <w:t xml:space="preserve">, </w:t>
      </w:r>
      <w:r w:rsidRPr="00CC40FD">
        <w:rPr>
          <w:rFonts w:ascii="David" w:hAnsi="David" w:cs="David"/>
          <w:sz w:val="24"/>
          <w:szCs w:val="24"/>
          <w:rtl/>
        </w:rPr>
        <w:t>לפי סעיף 192 לחוק</w:t>
      </w:r>
      <w:r>
        <w:rPr>
          <w:rFonts w:ascii="David" w:hAnsi="David" w:cs="David" w:hint="cs"/>
          <w:sz w:val="24"/>
          <w:szCs w:val="24"/>
          <w:rtl/>
        </w:rPr>
        <w:t xml:space="preserve">; </w:t>
      </w:r>
      <w:r w:rsidRPr="00567A4E">
        <w:rPr>
          <w:rFonts w:ascii="David" w:hAnsi="David" w:cs="David"/>
          <w:b/>
          <w:bCs/>
          <w:sz w:val="24"/>
          <w:szCs w:val="24"/>
          <w:rtl/>
        </w:rPr>
        <w:t>מעשה פזיזות ורשלנות</w:t>
      </w:r>
      <w:r w:rsidRPr="00CC40FD">
        <w:rPr>
          <w:rFonts w:ascii="David" w:hAnsi="David" w:cs="David"/>
          <w:sz w:val="24"/>
          <w:szCs w:val="24"/>
          <w:rtl/>
        </w:rPr>
        <w:t xml:space="preserve"> (ריבוי </w:t>
      </w:r>
      <w:r>
        <w:rPr>
          <w:rFonts w:ascii="David" w:hAnsi="David" w:cs="David" w:hint="cs"/>
          <w:sz w:val="24"/>
          <w:szCs w:val="24"/>
          <w:rtl/>
        </w:rPr>
        <w:t>מקרים</w:t>
      </w:r>
      <w:r w:rsidRPr="00CC40FD">
        <w:rPr>
          <w:rFonts w:ascii="David" w:hAnsi="David" w:cs="David"/>
          <w:sz w:val="24"/>
          <w:szCs w:val="24"/>
          <w:rtl/>
        </w:rPr>
        <w:t>)</w:t>
      </w:r>
      <w:r>
        <w:rPr>
          <w:rFonts w:ascii="David" w:hAnsi="David" w:cs="David" w:hint="cs"/>
          <w:sz w:val="24"/>
          <w:szCs w:val="24"/>
          <w:rtl/>
        </w:rPr>
        <w:t xml:space="preserve">, </w:t>
      </w:r>
      <w:r w:rsidRPr="00CC40FD">
        <w:rPr>
          <w:rFonts w:ascii="David" w:hAnsi="David" w:cs="David"/>
          <w:sz w:val="24"/>
          <w:szCs w:val="24"/>
          <w:rtl/>
        </w:rPr>
        <w:t>לפי סעיף 338(א)(5) לחוק</w:t>
      </w:r>
      <w:r>
        <w:rPr>
          <w:rFonts w:ascii="David" w:hAnsi="David" w:cs="David" w:hint="cs"/>
          <w:sz w:val="24"/>
          <w:szCs w:val="24"/>
          <w:rtl/>
        </w:rPr>
        <w:t xml:space="preserve">; </w:t>
      </w:r>
      <w:r>
        <w:rPr>
          <w:rFonts w:ascii="David" w:hAnsi="David" w:cs="David" w:hint="cs"/>
          <w:b/>
          <w:bCs/>
          <w:sz w:val="24"/>
          <w:szCs w:val="24"/>
          <w:rtl/>
        </w:rPr>
        <w:t>ו</w:t>
      </w:r>
      <w:r w:rsidRPr="00567A4E">
        <w:rPr>
          <w:rFonts w:ascii="David" w:hAnsi="David" w:cs="David"/>
          <w:b/>
          <w:bCs/>
          <w:sz w:val="24"/>
          <w:szCs w:val="24"/>
          <w:rtl/>
        </w:rPr>
        <w:t>תקיפה סתם</w:t>
      </w:r>
      <w:r w:rsidRPr="00CC40FD">
        <w:rPr>
          <w:rFonts w:ascii="David" w:hAnsi="David" w:cs="David"/>
          <w:sz w:val="24"/>
          <w:szCs w:val="24"/>
          <w:rtl/>
        </w:rPr>
        <w:t xml:space="preserve"> (ריבוי </w:t>
      </w:r>
      <w:r>
        <w:rPr>
          <w:rFonts w:ascii="David" w:hAnsi="David" w:cs="David" w:hint="cs"/>
          <w:sz w:val="24"/>
          <w:szCs w:val="24"/>
          <w:rtl/>
        </w:rPr>
        <w:t>מקרים</w:t>
      </w:r>
      <w:r w:rsidRPr="00CC40FD">
        <w:rPr>
          <w:rFonts w:ascii="David" w:hAnsi="David" w:cs="David"/>
          <w:sz w:val="24"/>
          <w:szCs w:val="24"/>
          <w:rtl/>
        </w:rPr>
        <w:t>)</w:t>
      </w:r>
      <w:r>
        <w:rPr>
          <w:rFonts w:ascii="David" w:hAnsi="David" w:cs="David" w:hint="cs"/>
          <w:sz w:val="24"/>
          <w:szCs w:val="24"/>
          <w:rtl/>
        </w:rPr>
        <w:t xml:space="preserve">, </w:t>
      </w:r>
      <w:r w:rsidRPr="00CC40FD">
        <w:rPr>
          <w:rFonts w:ascii="David" w:hAnsi="David" w:cs="David"/>
          <w:sz w:val="24"/>
          <w:szCs w:val="24"/>
          <w:rtl/>
        </w:rPr>
        <w:t xml:space="preserve">לפי סעיף 379 לחוק. </w:t>
      </w:r>
    </w:p>
    <w:p w:rsidR="00272CAC" w:rsidRDefault="00272CAC" w:rsidP="00C874BD">
      <w:pPr>
        <w:pStyle w:val="ac"/>
        <w:tabs>
          <w:tab w:val="left" w:pos="3686"/>
        </w:tabs>
        <w:spacing w:after="0" w:line="360" w:lineRule="auto"/>
        <w:ind w:left="360"/>
        <w:jc w:val="both"/>
        <w:rPr>
          <w:rFonts w:ascii="David" w:hAnsi="David"/>
          <w:rtl/>
        </w:rPr>
      </w:pPr>
    </w:p>
    <w:tbl>
      <w:tblPr>
        <w:tblStyle w:val="a7"/>
        <w:bidiVisual/>
        <w:tblW w:w="2834" w:type="dxa"/>
        <w:tblInd w:w="5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34"/>
      </w:tblGrid>
      <w:tr w:rsidR="0025728F" w:rsidTr="0025728F">
        <w:tc>
          <w:tcPr>
            <w:tcW w:w="2834" w:type="dxa"/>
            <w:tcBorders>
              <w:top w:val="nil"/>
              <w:left w:val="nil"/>
              <w:bottom w:val="single" w:sz="4" w:space="0" w:color="auto"/>
              <w:right w:val="nil"/>
            </w:tcBorders>
            <w:vAlign w:val="bottom"/>
            <w:hideMark/>
          </w:tcPr>
          <w:p w:rsidR="0025728F" w:rsidRDefault="0025728F">
            <w:pPr>
              <w:jc w:val="center"/>
              <w:rPr>
                <w:rFonts w:ascii="David" w:hAnsi="David"/>
                <w:b/>
                <w:bCs/>
              </w:rPr>
            </w:pPr>
            <w:r>
              <w:rPr>
                <w:rFonts w:ascii="David" w:hAnsi="David"/>
                <w:noProof/>
              </w:rPr>
              <w:drawing>
                <wp:inline distT="0" distB="0" distL="0" distR="0">
                  <wp:extent cx="927100" cy="647700"/>
                  <wp:effectExtent l="0" t="0" r="6350" b="0"/>
                  <wp:docPr id="2" name="תמונה 2" descr="02276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0227683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7100" cy="647700"/>
                          </a:xfrm>
                          <a:prstGeom prst="rect">
                            <a:avLst/>
                          </a:prstGeom>
                          <a:noFill/>
                          <a:ln>
                            <a:noFill/>
                          </a:ln>
                        </pic:spPr>
                      </pic:pic>
                    </a:graphicData>
                  </a:graphic>
                </wp:inline>
              </w:drawing>
            </w:r>
          </w:p>
        </w:tc>
      </w:tr>
      <w:tr w:rsidR="0025728F" w:rsidTr="0025728F">
        <w:tc>
          <w:tcPr>
            <w:tcW w:w="2834" w:type="dxa"/>
            <w:tcBorders>
              <w:top w:val="single" w:sz="4" w:space="0" w:color="auto"/>
              <w:left w:val="nil"/>
              <w:bottom w:val="nil"/>
              <w:right w:val="nil"/>
            </w:tcBorders>
            <w:hideMark/>
          </w:tcPr>
          <w:p w:rsidR="0025728F" w:rsidRDefault="0025728F">
            <w:pPr>
              <w:spacing w:line="360" w:lineRule="auto"/>
              <w:jc w:val="center"/>
              <w:rPr>
                <w:rFonts w:ascii="David" w:hAnsi="David"/>
                <w:b/>
                <w:bCs/>
                <w:noProof/>
              </w:rPr>
            </w:pPr>
            <w:r>
              <w:rPr>
                <w:rFonts w:ascii="David" w:hAnsi="David"/>
                <w:b/>
                <w:bCs/>
                <w:rtl/>
              </w:rPr>
              <w:t xml:space="preserve">י. ליפשיץ , שופט </w:t>
            </w:r>
          </w:p>
          <w:p w:rsidR="0025728F" w:rsidRDefault="0025728F">
            <w:pPr>
              <w:spacing w:line="360" w:lineRule="auto"/>
              <w:jc w:val="center"/>
              <w:rPr>
                <w:rFonts w:ascii="David" w:hAnsi="David"/>
                <w:b/>
                <w:bCs/>
                <w:rtl/>
              </w:rPr>
            </w:pPr>
            <w:r>
              <w:rPr>
                <w:rFonts w:ascii="David" w:hAnsi="David"/>
                <w:b/>
                <w:bCs/>
                <w:rtl/>
              </w:rPr>
              <w:t>[אב"ד]</w:t>
            </w:r>
          </w:p>
        </w:tc>
      </w:tr>
    </w:tbl>
    <w:p w:rsidR="00C874BD" w:rsidRDefault="00C874BD">
      <w:pPr>
        <w:rPr>
          <w:rFonts w:ascii="David" w:hAnsi="David"/>
          <w:b/>
          <w:bCs/>
          <w:sz w:val="26"/>
          <w:szCs w:val="26"/>
          <w:rtl/>
        </w:rPr>
      </w:pPr>
    </w:p>
    <w:p w:rsidR="00C874BD" w:rsidRDefault="00C874BD">
      <w:pPr>
        <w:rPr>
          <w:rFonts w:ascii="David" w:hAnsi="David"/>
          <w:b/>
          <w:bCs/>
          <w:sz w:val="26"/>
          <w:szCs w:val="26"/>
          <w:rtl/>
        </w:rPr>
      </w:pPr>
    </w:p>
    <w:p w:rsidR="00C874BD" w:rsidRDefault="00C874BD">
      <w:pPr>
        <w:rPr>
          <w:rFonts w:ascii="David" w:hAnsi="David"/>
          <w:b/>
          <w:bCs/>
          <w:sz w:val="26"/>
          <w:szCs w:val="26"/>
          <w:rtl/>
        </w:rPr>
      </w:pPr>
    </w:p>
    <w:p w:rsidR="00870F64" w:rsidRDefault="00272CAC">
      <w:pPr>
        <w:rPr>
          <w:rFonts w:ascii="David" w:hAnsi="David"/>
          <w:b/>
          <w:bCs/>
          <w:sz w:val="26"/>
          <w:szCs w:val="26"/>
          <w:rtl/>
        </w:rPr>
      </w:pPr>
      <w:r w:rsidRPr="00F60C9C">
        <w:rPr>
          <w:rFonts w:ascii="David" w:hAnsi="David" w:hint="cs"/>
          <w:b/>
          <w:bCs/>
          <w:sz w:val="26"/>
          <w:szCs w:val="26"/>
          <w:rtl/>
        </w:rPr>
        <w:lastRenderedPageBreak/>
        <w:t>השופטת גלית ציגלר:</w:t>
      </w:r>
    </w:p>
    <w:p w:rsidR="00C874BD" w:rsidRDefault="00C874BD">
      <w:pPr>
        <w:rPr>
          <w:rFonts w:ascii="David" w:hAnsi="David"/>
          <w:b/>
          <w:bCs/>
          <w:sz w:val="26"/>
          <w:szCs w:val="26"/>
          <w:rtl/>
        </w:rPr>
      </w:pPr>
    </w:p>
    <w:p w:rsidR="00272CAC" w:rsidRDefault="00272CAC" w:rsidP="00272CAC">
      <w:pPr>
        <w:spacing w:line="360" w:lineRule="auto"/>
        <w:ind w:left="720" w:hanging="720"/>
        <w:jc w:val="both"/>
        <w:rPr>
          <w:rFonts w:ascii="David" w:hAnsi="David"/>
          <w:rtl/>
        </w:rPr>
      </w:pPr>
      <w:r>
        <w:rPr>
          <w:rFonts w:ascii="David" w:hAnsi="David" w:hint="cs"/>
          <w:rtl/>
        </w:rPr>
        <w:t>1.</w:t>
      </w:r>
      <w:r>
        <w:rPr>
          <w:rFonts w:ascii="David" w:hAnsi="David" w:hint="cs"/>
          <w:rtl/>
        </w:rPr>
        <w:tab/>
        <w:t xml:space="preserve">לאחר שעיינתי בחוות דעתו של חברי השופט ליפשיץ, בסיכומי הצדדים וטענותיהם ובראיות הרבות שהוצגו, שוכנעתי כי יש להרשיע הנאשם באישום הראשון בעבירה של המתה בקלות דעת בהתאם לסעיף 301ג לחוק העונשין, ולא כפי המיוחס לו בכתב האישום המתוקן, וכן בעבירה של שיבוש מהלכי משפט לפי סעיף 244 לחוק. כמו כן יש להרשיע את הנאשם בכל העבירות האחרות הכלולות באישום השני בכתב האישום המתוקן, שבהן הודה במהלך שמיעת הראיות ובהתאם להסדר הטיעון שהושג בין הצדדים.   </w:t>
      </w:r>
    </w:p>
    <w:p w:rsidR="00C874BD" w:rsidRDefault="00C874BD" w:rsidP="00272CAC">
      <w:pPr>
        <w:spacing w:line="360" w:lineRule="auto"/>
        <w:ind w:left="720" w:hanging="720"/>
        <w:jc w:val="both"/>
        <w:rPr>
          <w:rFonts w:ascii="David" w:hAnsi="David"/>
          <w:rtl/>
        </w:rPr>
      </w:pPr>
    </w:p>
    <w:p w:rsidR="00272CAC" w:rsidRDefault="00272CAC" w:rsidP="00272CAC">
      <w:pPr>
        <w:spacing w:line="360" w:lineRule="auto"/>
        <w:ind w:left="720" w:hanging="720"/>
        <w:jc w:val="both"/>
        <w:rPr>
          <w:rFonts w:ascii="David" w:hAnsi="David"/>
          <w:rtl/>
        </w:rPr>
      </w:pPr>
      <w:r>
        <w:rPr>
          <w:rFonts w:ascii="David" w:hAnsi="David" w:hint="cs"/>
          <w:rtl/>
        </w:rPr>
        <w:t>2.</w:t>
      </w:r>
      <w:r>
        <w:rPr>
          <w:rFonts w:ascii="David" w:hAnsi="David" w:hint="cs"/>
          <w:rtl/>
        </w:rPr>
        <w:tab/>
        <w:t xml:space="preserve">כאמור, לאחר שהחלה שמיעת הראיות ולאחר שהתייצבו לפנינו עדים רבים שתיארו את התנהגותו הבוטה והאלימה של הנאשם כלפיהם וכלפי אחרים במהלך שירותו במג"ב, הגיעו הצדדים לידי הסדר הטיעון והנאשם הודה בעובדות שונות הכלולות בכתב האישום המתוקן, וכן הודה כי הוא זה שירה למוות בחברו ליחידה ולחדר נעים מאדי ז"ל. </w:t>
      </w:r>
    </w:p>
    <w:p w:rsidR="00272CAC" w:rsidRPr="00193CCC" w:rsidRDefault="00272CAC" w:rsidP="00272CAC">
      <w:pPr>
        <w:spacing w:line="360" w:lineRule="auto"/>
        <w:ind w:left="720"/>
        <w:contextualSpacing/>
        <w:jc w:val="both"/>
        <w:rPr>
          <w:rFonts w:ascii="David" w:hAnsi="David"/>
          <w:rtl/>
        </w:rPr>
      </w:pPr>
      <w:r>
        <w:rPr>
          <w:rFonts w:ascii="David" w:hAnsi="David" w:hint="cs"/>
          <w:rtl/>
        </w:rPr>
        <w:t xml:space="preserve">זוהי נקודת המוצא ואתייחס בעיקר למצב העובדתי שהוכח והשפעתו על היסוד הנפשי אותו יש לייחס לנאשם, וכפי שטענו גם ב"כ המאשימה </w:t>
      </w:r>
      <w:r w:rsidRPr="00273EB1">
        <w:rPr>
          <w:rFonts w:ascii="David" w:hAnsi="David" w:hint="cs"/>
          <w:rtl/>
        </w:rPr>
        <w:t>בסיכומי</w:t>
      </w:r>
      <w:r>
        <w:rPr>
          <w:rFonts w:ascii="David" w:hAnsi="David" w:hint="cs"/>
          <w:rtl/>
        </w:rPr>
        <w:t>ה</w:t>
      </w:r>
      <w:r w:rsidRPr="00273EB1">
        <w:rPr>
          <w:rFonts w:ascii="David" w:hAnsi="David" w:hint="cs"/>
          <w:rtl/>
        </w:rPr>
        <w:t>ם</w:t>
      </w:r>
      <w:r>
        <w:rPr>
          <w:rFonts w:ascii="David" w:hAnsi="David" w:hint="cs"/>
          <w:rtl/>
        </w:rPr>
        <w:t>:</w:t>
      </w:r>
      <w:r>
        <w:rPr>
          <w:rFonts w:ascii="David" w:hAnsi="David" w:hint="cs"/>
          <w:b/>
          <w:bCs/>
          <w:rtl/>
        </w:rPr>
        <w:t xml:space="preserve"> </w:t>
      </w:r>
      <w:r w:rsidRPr="00273EB1">
        <w:rPr>
          <w:rFonts w:ascii="David" w:hAnsi="David" w:hint="cs"/>
          <w:b/>
          <w:bCs/>
          <w:rtl/>
        </w:rPr>
        <w:t>"</w:t>
      </w:r>
      <w:r w:rsidRPr="00273EB1">
        <w:rPr>
          <w:rFonts w:ascii="David" w:hAnsi="David"/>
          <w:b/>
          <w:bCs/>
          <w:rtl/>
        </w:rPr>
        <w:t>השאלה שנותרה במחלוקת כיום היא מהו היסוד הנפשי שנתלווה</w:t>
      </w:r>
      <w:r w:rsidRPr="00273EB1">
        <w:rPr>
          <w:rFonts w:ascii="David" w:hAnsi="David" w:hint="cs"/>
          <w:b/>
          <w:bCs/>
          <w:rtl/>
        </w:rPr>
        <w:t xml:space="preserve"> </w:t>
      </w:r>
      <w:r w:rsidRPr="00273EB1">
        <w:rPr>
          <w:rFonts w:ascii="David" w:hAnsi="David"/>
          <w:b/>
          <w:bCs/>
          <w:rtl/>
        </w:rPr>
        <w:t xml:space="preserve">למעשיו הפליליים של הנאשם בעת הירי במנוח, </w:t>
      </w:r>
      <w:r>
        <w:rPr>
          <w:rFonts w:ascii="David" w:hAnsi="David" w:hint="cs"/>
          <w:b/>
          <w:bCs/>
          <w:rtl/>
        </w:rPr>
        <w:t xml:space="preserve">.... </w:t>
      </w:r>
      <w:r w:rsidRPr="00273EB1">
        <w:rPr>
          <w:rFonts w:ascii="David" w:hAnsi="David"/>
          <w:b/>
          <w:bCs/>
          <w:rtl/>
        </w:rPr>
        <w:t xml:space="preserve">האם היה </w:t>
      </w:r>
      <w:r>
        <w:rPr>
          <w:rFonts w:ascii="David" w:hAnsi="David" w:hint="cs"/>
          <w:b/>
          <w:bCs/>
          <w:rtl/>
        </w:rPr>
        <w:t>'</w:t>
      </w:r>
      <w:r w:rsidRPr="00273EB1">
        <w:rPr>
          <w:rFonts w:ascii="David" w:hAnsi="David"/>
          <w:b/>
          <w:bCs/>
          <w:rtl/>
        </w:rPr>
        <w:t>אדיש</w:t>
      </w:r>
      <w:r>
        <w:rPr>
          <w:rFonts w:ascii="David" w:hAnsi="David" w:hint="cs"/>
          <w:b/>
          <w:bCs/>
          <w:rtl/>
        </w:rPr>
        <w:t>'</w:t>
      </w:r>
      <w:r w:rsidRPr="00273EB1">
        <w:rPr>
          <w:rFonts w:ascii="David" w:hAnsi="David"/>
          <w:b/>
          <w:bCs/>
          <w:rtl/>
        </w:rPr>
        <w:t xml:space="preserve"> להתרחשות התוצאה או שמא </w:t>
      </w:r>
      <w:r>
        <w:rPr>
          <w:rFonts w:ascii="David" w:hAnsi="David" w:hint="cs"/>
          <w:b/>
          <w:bCs/>
          <w:rtl/>
        </w:rPr>
        <w:t>'</w:t>
      </w:r>
      <w:r w:rsidRPr="00273EB1">
        <w:rPr>
          <w:rFonts w:ascii="David" w:hAnsi="David"/>
          <w:b/>
          <w:bCs/>
          <w:rtl/>
        </w:rPr>
        <w:t>קל דעת' בלבד. כפועל יוצא - האם יש</w:t>
      </w:r>
      <w:r w:rsidRPr="00273EB1">
        <w:rPr>
          <w:rFonts w:ascii="David" w:hAnsi="David" w:hint="cs"/>
          <w:b/>
          <w:bCs/>
          <w:rtl/>
        </w:rPr>
        <w:t xml:space="preserve"> </w:t>
      </w:r>
      <w:r w:rsidRPr="00273EB1">
        <w:rPr>
          <w:rFonts w:ascii="David" w:hAnsi="David"/>
          <w:b/>
          <w:bCs/>
          <w:rtl/>
        </w:rPr>
        <w:t xml:space="preserve">להרשיעו בעבירת הרצח הבסיסית </w:t>
      </w:r>
      <w:r w:rsidRPr="00273EB1">
        <w:rPr>
          <w:rFonts w:ascii="David" w:hAnsi="David" w:hint="cs"/>
          <w:b/>
          <w:bCs/>
          <w:rtl/>
        </w:rPr>
        <w:t>(</w:t>
      </w:r>
      <w:r>
        <w:rPr>
          <w:rFonts w:ascii="David" w:hAnsi="David" w:hint="cs"/>
          <w:b/>
          <w:bCs/>
          <w:rtl/>
        </w:rPr>
        <w:t>'</w:t>
      </w:r>
      <w:r w:rsidRPr="00273EB1">
        <w:rPr>
          <w:rFonts w:ascii="David" w:hAnsi="David"/>
          <w:b/>
          <w:bCs/>
          <w:rtl/>
        </w:rPr>
        <w:t>רצח</w:t>
      </w:r>
      <w:r w:rsidRPr="00273EB1">
        <w:rPr>
          <w:rFonts w:ascii="David" w:hAnsi="David" w:hint="cs"/>
          <w:b/>
          <w:bCs/>
          <w:rtl/>
        </w:rPr>
        <w:t xml:space="preserve"> </w:t>
      </w:r>
      <w:r w:rsidRPr="00273EB1">
        <w:rPr>
          <w:rFonts w:ascii="David" w:hAnsi="David"/>
          <w:b/>
          <w:bCs/>
          <w:rtl/>
        </w:rPr>
        <w:t>באדישות</w:t>
      </w:r>
      <w:r>
        <w:rPr>
          <w:rFonts w:ascii="David" w:hAnsi="David" w:hint="cs"/>
          <w:b/>
          <w:bCs/>
          <w:rtl/>
        </w:rPr>
        <w:t>'</w:t>
      </w:r>
      <w:r w:rsidRPr="00273EB1">
        <w:rPr>
          <w:rFonts w:ascii="David" w:hAnsi="David" w:hint="cs"/>
          <w:b/>
          <w:bCs/>
          <w:rtl/>
        </w:rPr>
        <w:t>)</w:t>
      </w:r>
      <w:r w:rsidRPr="00273EB1">
        <w:rPr>
          <w:rFonts w:ascii="David" w:hAnsi="David"/>
          <w:b/>
          <w:bCs/>
          <w:rtl/>
        </w:rPr>
        <w:t xml:space="preserve"> או שמא בהריגה בקלות דעת, כהגדרתה</w:t>
      </w:r>
      <w:r w:rsidRPr="00273EB1">
        <w:rPr>
          <w:rFonts w:ascii="David" w:hAnsi="David" w:hint="cs"/>
          <w:b/>
          <w:bCs/>
          <w:rtl/>
        </w:rPr>
        <w:t xml:space="preserve"> </w:t>
      </w:r>
      <w:r w:rsidRPr="00273EB1">
        <w:rPr>
          <w:rFonts w:ascii="David" w:hAnsi="David"/>
          <w:b/>
          <w:bCs/>
          <w:rtl/>
        </w:rPr>
        <w:t>בחוק, כיום</w:t>
      </w:r>
      <w:r w:rsidRPr="00193CCC">
        <w:rPr>
          <w:rFonts w:ascii="David" w:hAnsi="David" w:hint="cs"/>
          <w:rtl/>
        </w:rPr>
        <w:t>" (סעיף 3 לסיכומי המאשימה).</w:t>
      </w:r>
    </w:p>
    <w:p w:rsidR="00272CAC" w:rsidRDefault="00272CAC" w:rsidP="00272CAC">
      <w:pPr>
        <w:spacing w:line="360" w:lineRule="auto"/>
        <w:ind w:left="720"/>
        <w:contextualSpacing/>
        <w:jc w:val="both"/>
        <w:rPr>
          <w:rFonts w:ascii="David" w:hAnsi="David"/>
          <w:rtl/>
        </w:rPr>
      </w:pPr>
    </w:p>
    <w:p w:rsidR="00272CAC" w:rsidRDefault="00272CAC" w:rsidP="00272CAC">
      <w:pPr>
        <w:spacing w:line="360" w:lineRule="auto"/>
        <w:ind w:left="720" w:hanging="720"/>
        <w:contextualSpacing/>
        <w:rPr>
          <w:rFonts w:ascii="David" w:hAnsi="David"/>
          <w:rtl/>
        </w:rPr>
      </w:pPr>
      <w:r>
        <w:rPr>
          <w:rFonts w:ascii="David" w:hAnsi="David" w:hint="cs"/>
          <w:rtl/>
        </w:rPr>
        <w:t>3.</w:t>
      </w:r>
      <w:r>
        <w:rPr>
          <w:rFonts w:ascii="David" w:hAnsi="David" w:hint="cs"/>
          <w:rtl/>
        </w:rPr>
        <w:tab/>
        <w:t xml:space="preserve">העובדות הנטענות בכתב האישום המתוקן מפרטות את מעשיו של הנאשם לפני ובעת הירי </w:t>
      </w:r>
      <w:r w:rsidRPr="00273EB1">
        <w:rPr>
          <w:rFonts w:ascii="David" w:hAnsi="David" w:hint="cs"/>
          <w:b/>
          <w:bCs/>
          <w:rtl/>
        </w:rPr>
        <w:t>"הנאשם לחץ על תפס המחסנית, הוציאה מעט ממקומה, בניסיון שכך לא ייגרף כדור אל בית הבליעה, ומיד דרך את האקדח"</w:t>
      </w:r>
      <w:r>
        <w:rPr>
          <w:rFonts w:ascii="David" w:hAnsi="David" w:hint="cs"/>
          <w:b/>
          <w:bCs/>
          <w:rtl/>
        </w:rPr>
        <w:t>.</w:t>
      </w:r>
      <w:r>
        <w:rPr>
          <w:rFonts w:ascii="David" w:hAnsi="David" w:hint="cs"/>
          <w:rtl/>
        </w:rPr>
        <w:t xml:space="preserve">.. וממרחק שאינו עולה על 1.25 מטר כיוון את האקדח אל ראשו של נעים המנוח ולחץ על ההדק  (סעיף 6 לאישום הראשון).    </w:t>
      </w:r>
    </w:p>
    <w:p w:rsidR="00272CAC" w:rsidRDefault="00272CAC" w:rsidP="00272CAC">
      <w:pPr>
        <w:spacing w:line="360" w:lineRule="auto"/>
        <w:ind w:left="720" w:hanging="720"/>
        <w:contextualSpacing/>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4.</w:t>
      </w:r>
      <w:r>
        <w:rPr>
          <w:rFonts w:ascii="David" w:hAnsi="David" w:hint="cs"/>
          <w:rtl/>
        </w:rPr>
        <w:tab/>
        <w:t xml:space="preserve">דומה כי העובדות הללו נלקחו מדבריו של הנאשם למדובב בעת שהשניים שהו יחד בבית המעצר, והנאשם תיאר בפניו את הפעולות שעשה במספר דרכים. תחילה אמר: </w:t>
      </w:r>
      <w:r w:rsidRPr="00273EB1">
        <w:rPr>
          <w:rFonts w:ascii="David" w:hAnsi="David" w:hint="cs"/>
          <w:b/>
          <w:bCs/>
          <w:rtl/>
        </w:rPr>
        <w:t>"שיחקנו זה, ואתה יודע כל היום כל יום אנחנו במשחקים זה, מרגיש את החידוש קשר ואת הביטול סרק פתאום "טאק". "עף כדור?" "ישר לראש שלו"</w:t>
      </w:r>
      <w:r>
        <w:rPr>
          <w:rFonts w:ascii="David" w:hAnsi="David" w:hint="cs"/>
          <w:rtl/>
        </w:rPr>
        <w:t xml:space="preserve">, ולשאלת המדובב השיב כי האקדח היה עם מחסנית </w:t>
      </w:r>
      <w:r w:rsidRPr="007D0E04">
        <w:rPr>
          <w:rFonts w:ascii="David" w:hAnsi="David"/>
          <w:rtl/>
        </w:rPr>
        <w:t>(ת/13 א' עמוד 23)</w:t>
      </w:r>
      <w:r>
        <w:rPr>
          <w:rFonts w:ascii="David" w:hAnsi="David" w:hint="cs"/>
          <w:rtl/>
        </w:rPr>
        <w:t>;</w:t>
      </w:r>
      <w:r w:rsidRPr="007D0E04">
        <w:rPr>
          <w:rFonts w:ascii="David" w:hAnsi="David"/>
          <w:rtl/>
        </w:rPr>
        <w:t xml:space="preserve"> </w:t>
      </w:r>
    </w:p>
    <w:p w:rsidR="00272CAC" w:rsidRDefault="00272CAC" w:rsidP="00272CAC">
      <w:pPr>
        <w:spacing w:line="360" w:lineRule="auto"/>
        <w:ind w:left="720"/>
        <w:contextualSpacing/>
        <w:jc w:val="both"/>
        <w:rPr>
          <w:rFonts w:ascii="David" w:hAnsi="David"/>
          <w:rtl/>
        </w:rPr>
      </w:pPr>
      <w:r>
        <w:rPr>
          <w:rFonts w:ascii="David" w:hAnsi="David" w:hint="cs"/>
          <w:rtl/>
        </w:rPr>
        <w:t xml:space="preserve">בהמשך שוב תיאר הנאשם בפני המדובב כי הכדור נורה ישירות לראשו של המנוח </w:t>
      </w:r>
      <w:r w:rsidRPr="007D0E04">
        <w:rPr>
          <w:rFonts w:ascii="David" w:hAnsi="David" w:hint="cs"/>
          <w:b/>
          <w:bCs/>
          <w:rtl/>
        </w:rPr>
        <w:t>"דוך לראש"</w:t>
      </w:r>
      <w:r>
        <w:rPr>
          <w:rFonts w:ascii="David" w:hAnsi="David" w:hint="cs"/>
          <w:rtl/>
        </w:rPr>
        <w:t xml:space="preserve">, תוך שהוא מוסיף </w:t>
      </w:r>
      <w:r w:rsidRPr="007D0E04">
        <w:rPr>
          <w:rFonts w:ascii="David" w:hAnsi="David" w:hint="cs"/>
          <w:b/>
          <w:bCs/>
          <w:rtl/>
        </w:rPr>
        <w:t xml:space="preserve">"לא כיוונתי אפילו, לא לא חשבתי שזה יפגע בו" </w:t>
      </w:r>
      <w:r>
        <w:rPr>
          <w:rFonts w:ascii="David" w:hAnsi="David" w:hint="cs"/>
          <w:rtl/>
        </w:rPr>
        <w:t xml:space="preserve">(ת/13א' עמוד 28), וכששאל אותו המדובב האם בתוך האקדח היתה מחסנית שלמה, השיב הנאשם: </w:t>
      </w:r>
      <w:r w:rsidRPr="007D0E04">
        <w:rPr>
          <w:rFonts w:ascii="David" w:hAnsi="David" w:hint="cs"/>
          <w:b/>
          <w:bCs/>
          <w:rtl/>
        </w:rPr>
        <w:t>"לא בדיוק. הוצאתי מחסנית, דרכתי</w:t>
      </w:r>
      <w:r>
        <w:rPr>
          <w:rFonts w:ascii="David" w:hAnsi="David" w:hint="cs"/>
          <w:b/>
          <w:bCs/>
          <w:rtl/>
        </w:rPr>
        <w:t>,</w:t>
      </w:r>
      <w:r w:rsidRPr="007D0E04">
        <w:rPr>
          <w:rFonts w:ascii="David" w:hAnsi="David" w:hint="cs"/>
          <w:b/>
          <w:bCs/>
          <w:rtl/>
        </w:rPr>
        <w:t xml:space="preserve"> במחסנית היה לי תרווח הזה, גררה כדור"</w:t>
      </w:r>
      <w:r>
        <w:rPr>
          <w:rFonts w:ascii="David" w:hAnsi="David" w:hint="cs"/>
          <w:b/>
          <w:bCs/>
          <w:rtl/>
        </w:rPr>
        <w:t xml:space="preserve">, </w:t>
      </w:r>
      <w:r w:rsidRPr="007D0E04">
        <w:rPr>
          <w:rFonts w:ascii="David" w:hAnsi="David" w:hint="cs"/>
          <w:rtl/>
        </w:rPr>
        <w:t>ו</w:t>
      </w:r>
      <w:r>
        <w:rPr>
          <w:rFonts w:ascii="David" w:hAnsi="David" w:hint="cs"/>
          <w:rtl/>
        </w:rPr>
        <w:t>כש</w:t>
      </w:r>
      <w:r w:rsidRPr="007D0E04">
        <w:rPr>
          <w:rFonts w:ascii="David" w:hAnsi="David" w:hint="cs"/>
          <w:rtl/>
        </w:rPr>
        <w:t xml:space="preserve">שאל </w:t>
      </w:r>
      <w:r w:rsidRPr="007D0E04">
        <w:rPr>
          <w:rFonts w:ascii="David" w:hAnsi="David" w:hint="cs"/>
          <w:rtl/>
        </w:rPr>
        <w:lastRenderedPageBreak/>
        <w:t xml:space="preserve">המדובב </w:t>
      </w:r>
      <w:r>
        <w:rPr>
          <w:rFonts w:ascii="David" w:hAnsi="David" w:hint="cs"/>
          <w:rtl/>
        </w:rPr>
        <w:t xml:space="preserve">שוב </w:t>
      </w:r>
      <w:r w:rsidRPr="007D0E04">
        <w:rPr>
          <w:rFonts w:ascii="David" w:hAnsi="David" w:hint="cs"/>
          <w:rtl/>
        </w:rPr>
        <w:t>האם הוציא חצי מחסנית החוצה השיב</w:t>
      </w:r>
      <w:r>
        <w:rPr>
          <w:rFonts w:ascii="David" w:hAnsi="David" w:hint="cs"/>
          <w:rtl/>
        </w:rPr>
        <w:t>:</w:t>
      </w:r>
      <w:r w:rsidRPr="007D0E04">
        <w:rPr>
          <w:rFonts w:ascii="David" w:hAnsi="David" w:hint="cs"/>
          <w:rtl/>
        </w:rPr>
        <w:t xml:space="preserve"> </w:t>
      </w:r>
      <w:r>
        <w:rPr>
          <w:rFonts w:ascii="David" w:hAnsi="David" w:hint="cs"/>
          <w:rtl/>
        </w:rPr>
        <w:t>"</w:t>
      </w:r>
      <w:r w:rsidRPr="007D0E04">
        <w:rPr>
          <w:rFonts w:ascii="David" w:hAnsi="David" w:hint="cs"/>
          <w:b/>
          <w:bCs/>
          <w:rtl/>
        </w:rPr>
        <w:t>כן! גררה כדור ... לא יודע אחי היא גררה תכדור.</w:t>
      </w:r>
      <w:r>
        <w:rPr>
          <w:rFonts w:ascii="David" w:hAnsi="David" w:hint="cs"/>
          <w:b/>
          <w:bCs/>
          <w:rtl/>
        </w:rPr>
        <w:t xml:space="preserve"> </w:t>
      </w:r>
      <w:r w:rsidRPr="007D0E04">
        <w:rPr>
          <w:rFonts w:ascii="David" w:hAnsi="David" w:hint="cs"/>
          <w:b/>
          <w:bCs/>
          <w:rtl/>
        </w:rPr>
        <w:t>לא ידעתי שגרר כדור. בא פורק לוחץ עושה לו תראה. טאק, אמרתי לך חשבתי לא יהיה כלום, טאק עף כדור</w:t>
      </w:r>
      <w:r w:rsidRPr="007D0E04">
        <w:rPr>
          <w:rFonts w:ascii="David" w:hAnsi="David" w:hint="cs"/>
          <w:rtl/>
        </w:rPr>
        <w:t xml:space="preserve">" (ת/13א' עמוד 31). </w:t>
      </w:r>
    </w:p>
    <w:p w:rsidR="00272CAC" w:rsidRDefault="00272CAC" w:rsidP="00272CAC">
      <w:pPr>
        <w:spacing w:line="360" w:lineRule="auto"/>
        <w:ind w:left="720"/>
        <w:contextualSpacing/>
        <w:jc w:val="both"/>
        <w:rPr>
          <w:rFonts w:ascii="David" w:hAnsi="David"/>
          <w:rtl/>
        </w:rPr>
      </w:pPr>
    </w:p>
    <w:p w:rsidR="00272CAC" w:rsidRDefault="00272CAC" w:rsidP="00272CAC">
      <w:pPr>
        <w:spacing w:line="360" w:lineRule="auto"/>
        <w:ind w:left="720"/>
        <w:contextualSpacing/>
        <w:jc w:val="both"/>
        <w:rPr>
          <w:rFonts w:ascii="David" w:hAnsi="David"/>
          <w:rtl/>
        </w:rPr>
      </w:pPr>
      <w:r>
        <w:rPr>
          <w:rFonts w:ascii="David" w:hAnsi="David" w:hint="cs"/>
          <w:rtl/>
        </w:rPr>
        <w:t xml:space="preserve">זו גם היתה תשובתו המתוקנת של הנאשם לכתב האישום המתוקן לאחר הסדר הטיעון, והוא אישר כי </w:t>
      </w:r>
      <w:r w:rsidRPr="0016425E">
        <w:rPr>
          <w:rFonts w:ascii="David" w:hAnsi="David" w:hint="cs"/>
          <w:b/>
          <w:bCs/>
          <w:rtl/>
        </w:rPr>
        <w:t xml:space="preserve">"החזיק את הנשק בידו, אכן שחרר את תפס המחסנית, הוציאה מעט ממקומה "דרך" את האקדח כאשר הוא עומד </w:t>
      </w:r>
      <w:r>
        <w:rPr>
          <w:rFonts w:ascii="David" w:hAnsi="David" w:hint="cs"/>
          <w:b/>
          <w:bCs/>
          <w:rtl/>
        </w:rPr>
        <w:t xml:space="preserve">במרחק </w:t>
      </w:r>
      <w:r w:rsidRPr="0016425E">
        <w:rPr>
          <w:rFonts w:ascii="David" w:hAnsi="David" w:hint="cs"/>
          <w:b/>
          <w:bCs/>
          <w:rtl/>
        </w:rPr>
        <w:t>של לא פחות ממטר עשרים וחמישה ס"מ..."</w:t>
      </w:r>
      <w:r>
        <w:rPr>
          <w:rFonts w:ascii="David" w:hAnsi="David" w:hint="cs"/>
          <w:rtl/>
        </w:rPr>
        <w:t xml:space="preserve"> וכו'. </w:t>
      </w:r>
    </w:p>
    <w:p w:rsidR="00272CAC" w:rsidRDefault="00272CAC" w:rsidP="00272CAC">
      <w:pPr>
        <w:spacing w:line="360" w:lineRule="auto"/>
        <w:contextualSpacing/>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5.</w:t>
      </w:r>
      <w:r>
        <w:rPr>
          <w:rFonts w:ascii="David" w:hAnsi="David" w:hint="cs"/>
          <w:rtl/>
        </w:rPr>
        <w:tab/>
        <w:t xml:space="preserve">תיאור נוסף רלוונטי למצב הנשק כפי שנמצא לאחר האירוע מצוי בחוות הדעת שערך איתי מקובסקי ממז"פ, שהגיע לזירה בחדרם של המנוח והנאשם. בין היתר תיאר העד בחוות דעתו כי מצא את האקדח בחדר כשהוא </w:t>
      </w:r>
      <w:r w:rsidRPr="0015298D">
        <w:rPr>
          <w:rFonts w:ascii="David" w:hAnsi="David" w:hint="cs"/>
          <w:u w:val="single"/>
          <w:rtl/>
        </w:rPr>
        <w:t>דרוך ומחסנית במצב הכנס.</w:t>
      </w:r>
      <w:r>
        <w:rPr>
          <w:rFonts w:ascii="David" w:hAnsi="David" w:hint="cs"/>
          <w:rtl/>
        </w:rPr>
        <w:t xml:space="preserve"> באותו זמן האקדח נפרק ולא נמצא בו כדור נוסף בבית הבליעה (ת/120 דוח בדיקת זירה - סעיף 8 ותצלום 11). עם זאת במהלך חקירתו הנגדית הסביר העד מקובסקי כי אינו משוכנע מה היה מצב המחסנית בזמן שפרק את האקדח והאם אמנם היתה תפוסה במקומה, והוא מניח שכך היה משום שהמחסנית לא נפלה כשהרים את הנשק לצורך פריקתו (פרוטוקול מיום 14.2.22 עמוד 426).</w:t>
      </w:r>
    </w:p>
    <w:p w:rsidR="00272CAC" w:rsidRDefault="00272CAC" w:rsidP="00272CAC">
      <w:pPr>
        <w:spacing w:line="360" w:lineRule="auto"/>
        <w:ind w:left="720" w:hanging="720"/>
        <w:contextualSpacing/>
        <w:jc w:val="both"/>
        <w:rPr>
          <w:rFonts w:ascii="David" w:hAnsi="David"/>
          <w:rtl/>
        </w:rPr>
      </w:pPr>
    </w:p>
    <w:p w:rsidR="00272CAC" w:rsidRPr="007D0E04" w:rsidRDefault="00272CAC" w:rsidP="00272CAC">
      <w:pPr>
        <w:spacing w:line="360" w:lineRule="auto"/>
        <w:ind w:left="720"/>
        <w:contextualSpacing/>
        <w:jc w:val="both"/>
        <w:rPr>
          <w:rFonts w:ascii="David" w:hAnsi="David"/>
          <w:rtl/>
        </w:rPr>
      </w:pPr>
      <w:r>
        <w:rPr>
          <w:rFonts w:ascii="David" w:hAnsi="David" w:hint="cs"/>
          <w:rtl/>
        </w:rPr>
        <w:t xml:space="preserve">[בהקשר זה ראו גם עדותו של מומחה מז"פ ירון חירובסקי אשר אישר את המצב בו נמצא האקדח, והוסיף את סברתו </w:t>
      </w:r>
      <w:r w:rsidRPr="00B13393">
        <w:rPr>
          <w:rFonts w:ascii="David" w:hAnsi="David" w:hint="cs"/>
          <w:rtl/>
        </w:rPr>
        <w:t>שלאחר הירי בוצעה לאקדח פריקה חלקית, הוצא הכדור מבית הבליעה, הוחזר למחסנית וזו  הוחזרה שוב למקומה</w:t>
      </w:r>
      <w:r>
        <w:rPr>
          <w:rFonts w:ascii="David" w:hAnsi="David" w:hint="cs"/>
          <w:rtl/>
        </w:rPr>
        <w:t>]</w:t>
      </w:r>
      <w:r w:rsidRPr="00B13393">
        <w:rPr>
          <w:rFonts w:ascii="David" w:hAnsi="David" w:hint="cs"/>
          <w:rtl/>
        </w:rPr>
        <w:t>.</w:t>
      </w:r>
      <w:r>
        <w:rPr>
          <w:rFonts w:ascii="David" w:hAnsi="David" w:hint="cs"/>
          <w:rtl/>
        </w:rPr>
        <w:t xml:space="preserve"> </w:t>
      </w:r>
    </w:p>
    <w:p w:rsidR="00272CAC" w:rsidRDefault="00272CAC" w:rsidP="00272CAC">
      <w:pPr>
        <w:spacing w:line="360" w:lineRule="auto"/>
        <w:ind w:left="720"/>
        <w:contextualSpacing/>
        <w:rPr>
          <w:rFonts w:ascii="David" w:hAnsi="David"/>
          <w:b/>
          <w:bCs/>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6.</w:t>
      </w:r>
      <w:r>
        <w:rPr>
          <w:rFonts w:ascii="David" w:hAnsi="David" w:hint="cs"/>
          <w:rtl/>
        </w:rPr>
        <w:tab/>
        <w:t xml:space="preserve">מטבע הדברים ונוכח מנגנון ההפעלה של האקדח (הכוונה כשהמחסנית בהכנס ומתבצע ירי, נגרף כדור נוסף מתוכה לבית הבליעה) בדקה המאשימה את השאלה כיצד ייתכן שלא היה כדור בבית הבליעה של האקדח, בהפנותה את השאלה למומחה במעבדת הנשק של מז"פ ליאונל בוקובזה. בחוות דעתו מצא המומחה כי  האקדח היה תקין, ולשאלת החוקרים כיצד לא אותר כדור נוסף בבית הבליעה (כפי שאמור היה להימצא במצב דברים רגיל), הוא השיב במזכר </w:t>
      </w:r>
      <w:r w:rsidRPr="00273EB1">
        <w:rPr>
          <w:rFonts w:ascii="David" w:hAnsi="David"/>
          <w:rtl/>
        </w:rPr>
        <w:t xml:space="preserve">כי </w:t>
      </w:r>
      <w:r>
        <w:rPr>
          <w:rFonts w:ascii="David" w:hAnsi="David" w:hint="cs"/>
          <w:rtl/>
        </w:rPr>
        <w:t>עשה ניסיונות לבדוק אפשרויות שונות והגיע למסקנה ש"</w:t>
      </w:r>
      <w:r w:rsidRPr="0054374F">
        <w:rPr>
          <w:rFonts w:ascii="David" w:hAnsi="David"/>
          <w:b/>
          <w:bCs/>
          <w:rtl/>
        </w:rPr>
        <w:t xml:space="preserve">ההסבר האפשרי לכך שלאחר ירי לא נמצא כדור בבית הבליעה וההדק </w:t>
      </w:r>
      <w:r>
        <w:rPr>
          <w:rFonts w:ascii="David" w:hAnsi="David" w:hint="cs"/>
          <w:b/>
          <w:bCs/>
          <w:rtl/>
        </w:rPr>
        <w:t>"</w:t>
      </w:r>
      <w:r w:rsidRPr="0054374F">
        <w:rPr>
          <w:rFonts w:ascii="David" w:hAnsi="David"/>
          <w:b/>
          <w:bCs/>
          <w:rtl/>
        </w:rPr>
        <w:t>דרוך</w:t>
      </w:r>
      <w:r>
        <w:rPr>
          <w:rFonts w:ascii="David" w:hAnsi="David" w:hint="cs"/>
          <w:b/>
          <w:bCs/>
          <w:rtl/>
        </w:rPr>
        <w:t>"</w:t>
      </w:r>
      <w:r w:rsidRPr="0054374F">
        <w:rPr>
          <w:rFonts w:ascii="David" w:hAnsi="David"/>
          <w:b/>
          <w:bCs/>
          <w:rtl/>
        </w:rPr>
        <w:t>, הוא</w:t>
      </w:r>
      <w:r w:rsidRPr="0054374F">
        <w:rPr>
          <w:rFonts w:ascii="David" w:hAnsi="David" w:hint="cs"/>
          <w:b/>
          <w:bCs/>
          <w:rtl/>
        </w:rPr>
        <w:t xml:space="preserve"> </w:t>
      </w:r>
      <w:r w:rsidRPr="0054374F">
        <w:rPr>
          <w:rFonts w:ascii="David" w:hAnsi="David"/>
          <w:b/>
          <w:bCs/>
          <w:rtl/>
        </w:rPr>
        <w:t xml:space="preserve">שבזמן הירי של הכדור התורן בבית הבליעה המחסנית הייתה מונמכת, לא </w:t>
      </w:r>
      <w:r>
        <w:rPr>
          <w:rFonts w:ascii="David" w:hAnsi="David" w:hint="cs"/>
          <w:b/>
          <w:bCs/>
          <w:rtl/>
        </w:rPr>
        <w:t>תפוסה ("</w:t>
      </w:r>
      <w:r w:rsidRPr="0054374F">
        <w:rPr>
          <w:rFonts w:ascii="David" w:hAnsi="David"/>
          <w:b/>
          <w:bCs/>
          <w:rtl/>
        </w:rPr>
        <w:t>נעולה</w:t>
      </w:r>
      <w:r>
        <w:rPr>
          <w:rFonts w:ascii="David" w:hAnsi="David" w:hint="cs"/>
          <w:b/>
          <w:bCs/>
          <w:rtl/>
        </w:rPr>
        <w:t>")</w:t>
      </w:r>
      <w:r w:rsidRPr="0054374F">
        <w:rPr>
          <w:rFonts w:ascii="David" w:hAnsi="David" w:hint="cs"/>
          <w:b/>
          <w:bCs/>
          <w:rtl/>
        </w:rPr>
        <w:t xml:space="preserve"> </w:t>
      </w:r>
      <w:r w:rsidRPr="0054374F">
        <w:rPr>
          <w:rFonts w:ascii="David" w:hAnsi="David"/>
          <w:b/>
          <w:bCs/>
          <w:rtl/>
        </w:rPr>
        <w:t>בבית המחסנית, או שלא הייתה מחסנית כלל בכלי הנשק, ולכן לא בוצעה הפעולה של הזנת</w:t>
      </w:r>
      <w:r w:rsidRPr="0054374F">
        <w:rPr>
          <w:rFonts w:ascii="David" w:hAnsi="David" w:hint="cs"/>
          <w:b/>
          <w:bCs/>
          <w:rtl/>
        </w:rPr>
        <w:t xml:space="preserve"> </w:t>
      </w:r>
      <w:r w:rsidRPr="0054374F">
        <w:rPr>
          <w:rFonts w:ascii="David" w:hAnsi="David"/>
          <w:b/>
          <w:bCs/>
          <w:rtl/>
        </w:rPr>
        <w:t>כדור תורן לבית הבליעה לאחר הירי הראש</w:t>
      </w:r>
      <w:r w:rsidRPr="0054374F">
        <w:rPr>
          <w:rFonts w:ascii="David" w:hAnsi="David" w:hint="cs"/>
          <w:b/>
          <w:bCs/>
          <w:rtl/>
        </w:rPr>
        <w:t>ו</w:t>
      </w:r>
      <w:r>
        <w:rPr>
          <w:rFonts w:ascii="David" w:hAnsi="David" w:hint="cs"/>
          <w:b/>
          <w:bCs/>
          <w:rtl/>
        </w:rPr>
        <w:t>ני</w:t>
      </w:r>
      <w:r w:rsidRPr="0015298D">
        <w:rPr>
          <w:rFonts w:ascii="David" w:hAnsi="David" w:hint="cs"/>
          <w:rtl/>
        </w:rPr>
        <w:t>"</w:t>
      </w:r>
      <w:r>
        <w:rPr>
          <w:rFonts w:ascii="David" w:hAnsi="David" w:hint="cs"/>
          <w:rtl/>
        </w:rPr>
        <w:t xml:space="preserve">. </w:t>
      </w:r>
      <w:r w:rsidRPr="008968EB">
        <w:rPr>
          <w:rFonts w:ascii="David" w:hAnsi="David" w:hint="cs"/>
          <w:u w:val="single"/>
          <w:rtl/>
        </w:rPr>
        <w:t>העד לא בדק את האפשרות לדריכת הנשק לאחר הוצאת המחסנית ממקומה</w:t>
      </w:r>
      <w:r>
        <w:rPr>
          <w:rFonts w:ascii="David" w:hAnsi="David" w:hint="cs"/>
          <w:rtl/>
        </w:rPr>
        <w:t xml:space="preserve">. </w:t>
      </w:r>
      <w:r w:rsidRPr="0033409F">
        <w:rPr>
          <w:rFonts w:ascii="David" w:hAnsi="David"/>
          <w:rtl/>
        </w:rPr>
        <w:t>(מזכר מיום 15.3.21 ת/125).</w:t>
      </w:r>
    </w:p>
    <w:p w:rsidR="00272CAC" w:rsidRDefault="00272CAC" w:rsidP="00272CAC">
      <w:pPr>
        <w:spacing w:line="360" w:lineRule="auto"/>
        <w:ind w:left="720" w:hanging="720"/>
        <w:contextualSpacing/>
        <w:jc w:val="both"/>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lastRenderedPageBreak/>
        <w:t>7.</w:t>
      </w:r>
      <w:r>
        <w:rPr>
          <w:rFonts w:ascii="David" w:hAnsi="David" w:hint="cs"/>
          <w:rtl/>
        </w:rPr>
        <w:tab/>
        <w:t xml:space="preserve">שאלת פעולותיו של הנאשם בנשק נבדקו גם ע"י מומחה מטעם ההגנה מר אברהם הוניג, אשר הציג מספר אפשרויות ואף הדגימן בסרטונים שתיעדו את פעולותיו, עליהן חזר ואותן הדגים גם בדיון שהתקיים במטווח. </w:t>
      </w:r>
    </w:p>
    <w:p w:rsidR="00272CAC" w:rsidRDefault="00272CAC" w:rsidP="00272CAC">
      <w:pPr>
        <w:spacing w:line="360" w:lineRule="auto"/>
        <w:ind w:left="720" w:hanging="720"/>
        <w:contextualSpacing/>
        <w:jc w:val="both"/>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rtl/>
        </w:rPr>
        <w:tab/>
      </w:r>
      <w:r>
        <w:rPr>
          <w:rFonts w:ascii="David" w:hAnsi="David" w:hint="cs"/>
          <w:rtl/>
        </w:rPr>
        <w:t xml:space="preserve">ב"כ המאשימה בסיכומיהם העלו טענות רבות כנגד מומחיותו של העד, כנגד התרחישים "המוזמנים" והספציפיים שבדק, והעדר אפשרות לסמוך על ממצאיו. ואולם, הגם שהעד לא בדק את כל התרחישים האפשריים, התרשמתי כי העד הוניג הוא בעל מומחיות בכלי נשק וכי בעדותו הוא שמר על מקצועיות וידע להסביר כיצד לדעתו יכול היה האירוע להתרחש גם לפי גרסתו של הנאשם. אחת המסקנות של העד - שלטעמי עולה גם מחוות דעתו של מומחה הנשק ממז"פ בוקובזה - היתה שכל עוד המחסנית באקדח אינה תפוסה במקומה לא ייגרף כדור לבית הבליעה כך שלא ייתכן שיתרחש ירי.   </w:t>
      </w:r>
    </w:p>
    <w:p w:rsidR="00272CAC" w:rsidRDefault="00272CAC" w:rsidP="00272CAC">
      <w:pPr>
        <w:spacing w:line="360" w:lineRule="auto"/>
        <w:ind w:left="720" w:hanging="720"/>
        <w:contextualSpacing/>
        <w:jc w:val="both"/>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8.</w:t>
      </w:r>
      <w:r>
        <w:rPr>
          <w:rFonts w:ascii="David" w:hAnsi="David" w:hint="cs"/>
          <w:rtl/>
        </w:rPr>
        <w:tab/>
        <w:t>התמקדתי במצב האקדח בזמן הירי כדי לנסות ולבחון האם מפעולותיו של הנאשם ניתן ללמוד על היסוד הנפשי שליווה אותו בעת שירה.</w:t>
      </w:r>
    </w:p>
    <w:p w:rsidR="00272CAC" w:rsidRDefault="00272CAC" w:rsidP="00272CAC">
      <w:pPr>
        <w:spacing w:line="360" w:lineRule="auto"/>
        <w:ind w:left="720" w:hanging="720"/>
        <w:contextualSpacing/>
        <w:jc w:val="both"/>
        <w:rPr>
          <w:rFonts w:ascii="David" w:hAnsi="David"/>
          <w:rtl/>
        </w:rPr>
      </w:pPr>
      <w:r>
        <w:rPr>
          <w:rFonts w:ascii="David" w:hAnsi="David"/>
          <w:rtl/>
        </w:rPr>
        <w:tab/>
      </w:r>
      <w:r>
        <w:rPr>
          <w:rFonts w:ascii="David" w:hAnsi="David" w:hint="cs"/>
          <w:rtl/>
        </w:rPr>
        <w:t xml:space="preserve">יוזכר </w:t>
      </w:r>
      <w:r>
        <w:rPr>
          <w:rFonts w:ascii="David" w:hAnsi="David"/>
          <w:rtl/>
        </w:rPr>
        <w:t>–</w:t>
      </w:r>
      <w:r>
        <w:rPr>
          <w:rFonts w:ascii="David" w:hAnsi="David" w:hint="cs"/>
          <w:rtl/>
        </w:rPr>
        <w:t xml:space="preserve"> אין מחלוקת כי כשנמצא האקדח לא היה בו כדור בבית הבליעה; לגבי המחסנית התעוררה השאלה בדבר מצבה </w:t>
      </w:r>
      <w:r>
        <w:rPr>
          <w:rFonts w:ascii="David" w:hAnsi="David"/>
          <w:rtl/>
        </w:rPr>
        <w:t>–</w:t>
      </w:r>
      <w:r>
        <w:rPr>
          <w:rFonts w:ascii="David" w:hAnsi="David" w:hint="cs"/>
          <w:rtl/>
        </w:rPr>
        <w:t xml:space="preserve"> כשמצד אחד מדברי הנאשם עלה שהוא לחץ על התפס כדי להוציאה ממקומה (וכך גם נטען בכתב האישום המתוקן), ומצד שני נטען כי העד מקובסקי מטעם המז"פ מצא אותה במצב "הכנס" ותפוסה בתפס, הגם שהוא לא היה משוכנע בכך עד תום (אציין כי העד חיים אדרי שהזיז את הנשק מגופו של המנוח - לא נחקר על כך). </w:t>
      </w:r>
    </w:p>
    <w:p w:rsidR="00272CAC" w:rsidRDefault="00272CAC" w:rsidP="00272CAC">
      <w:pPr>
        <w:spacing w:line="360" w:lineRule="auto"/>
        <w:ind w:left="720" w:hanging="720"/>
        <w:contextualSpacing/>
        <w:jc w:val="both"/>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rtl/>
        </w:rPr>
        <w:tab/>
      </w:r>
      <w:r>
        <w:rPr>
          <w:rFonts w:ascii="David" w:hAnsi="David" w:hint="cs"/>
          <w:rtl/>
        </w:rPr>
        <w:t>מכאן לדעתי עולים שני מצבים אפשריים של האקדח לאחר האירוע:</w:t>
      </w:r>
    </w:p>
    <w:p w:rsidR="00272CAC" w:rsidRDefault="00272CAC" w:rsidP="00272CAC">
      <w:pPr>
        <w:spacing w:line="360" w:lineRule="auto"/>
        <w:ind w:left="720" w:hanging="720"/>
        <w:contextualSpacing/>
        <w:jc w:val="both"/>
        <w:rPr>
          <w:rFonts w:ascii="David" w:hAnsi="David"/>
          <w:rtl/>
        </w:rPr>
      </w:pPr>
    </w:p>
    <w:p w:rsidR="00272CAC" w:rsidRDefault="00272CAC" w:rsidP="00272CAC">
      <w:pPr>
        <w:spacing w:line="360" w:lineRule="auto"/>
        <w:ind w:left="1440" w:hanging="720"/>
        <w:contextualSpacing/>
        <w:jc w:val="both"/>
        <w:rPr>
          <w:rFonts w:ascii="David" w:hAnsi="David"/>
          <w:rtl/>
        </w:rPr>
      </w:pPr>
      <w:r>
        <w:rPr>
          <w:rFonts w:ascii="David" w:hAnsi="David" w:hint="cs"/>
          <w:rtl/>
        </w:rPr>
        <w:t xml:space="preserve">(-) </w:t>
      </w:r>
      <w:r>
        <w:rPr>
          <w:rFonts w:ascii="David" w:hAnsi="David"/>
          <w:rtl/>
        </w:rPr>
        <w:tab/>
      </w:r>
      <w:r w:rsidRPr="00FB5535">
        <w:rPr>
          <w:rFonts w:ascii="David" w:hAnsi="David" w:hint="cs"/>
          <w:b/>
          <w:bCs/>
          <w:rtl/>
        </w:rPr>
        <w:t>מצב ראשון</w:t>
      </w:r>
      <w:r>
        <w:rPr>
          <w:rFonts w:ascii="David" w:hAnsi="David" w:hint="cs"/>
          <w:rtl/>
        </w:rPr>
        <w:t xml:space="preserve"> אין כדור בבית הבליעה והמחסנית תפוסה במקומה </w:t>
      </w:r>
      <w:r w:rsidRPr="00B13393">
        <w:rPr>
          <w:rFonts w:ascii="David" w:hAnsi="David"/>
          <w:rtl/>
        </w:rPr>
        <w:t>–</w:t>
      </w:r>
      <w:r w:rsidRPr="00B13393">
        <w:rPr>
          <w:rFonts w:ascii="David" w:hAnsi="David" w:hint="cs"/>
          <w:rtl/>
        </w:rPr>
        <w:t xml:space="preserve"> (כפי שנקבע בחוות דעת של מז"פ </w:t>
      </w:r>
      <w:r w:rsidRPr="00B13393">
        <w:rPr>
          <w:rFonts w:ascii="David" w:hAnsi="David"/>
          <w:rtl/>
        </w:rPr>
        <w:t>–</w:t>
      </w:r>
      <w:r w:rsidRPr="00B13393">
        <w:rPr>
          <w:rFonts w:ascii="David" w:hAnsi="David" w:hint="cs"/>
          <w:rtl/>
        </w:rPr>
        <w:t xml:space="preserve"> ת/129) המשמעות ע"פ מומחה מז"פ ירון חירובסקי </w:t>
      </w:r>
      <w:r w:rsidRPr="00B13393">
        <w:rPr>
          <w:rFonts w:ascii="David" w:hAnsi="David"/>
          <w:rtl/>
        </w:rPr>
        <w:t>–</w:t>
      </w:r>
      <w:r w:rsidRPr="00B13393">
        <w:rPr>
          <w:rFonts w:ascii="David" w:hAnsi="David" w:hint="cs"/>
          <w:rtl/>
        </w:rPr>
        <w:t xml:space="preserve"> נער</w:t>
      </w:r>
      <w:r>
        <w:rPr>
          <w:rFonts w:ascii="David" w:hAnsi="David" w:hint="cs"/>
          <w:rtl/>
        </w:rPr>
        <w:t xml:space="preserve">כה פריקה של הנשק לאחר הירי, הכדור הנוסף שנגרף לבית הבליעה הוצא והוחזר למחסנית, והמחסנית הוחזרה למקומה באקדח. מדובר בתרחיש שהוא אולי אפשרי, אולם גם המאשימה לא טענה שהנאשם ביצע את כל הפעולות הללו לאחר הירי, ובוודאי שתרחיש כזה לא הוכח ברמה מספקת, ועל כן יש לדחותו.  </w:t>
      </w:r>
    </w:p>
    <w:p w:rsidR="00272CAC" w:rsidRDefault="00272CAC" w:rsidP="00272CAC">
      <w:pPr>
        <w:spacing w:line="360" w:lineRule="auto"/>
        <w:ind w:left="720" w:hanging="720"/>
        <w:contextualSpacing/>
        <w:jc w:val="both"/>
        <w:rPr>
          <w:rFonts w:ascii="David" w:hAnsi="David"/>
          <w:rtl/>
        </w:rPr>
      </w:pPr>
    </w:p>
    <w:p w:rsidR="00272CAC" w:rsidRDefault="00272CAC" w:rsidP="000B757D">
      <w:pPr>
        <w:spacing w:line="360" w:lineRule="auto"/>
        <w:ind w:left="1440" w:hanging="720"/>
        <w:contextualSpacing/>
        <w:jc w:val="both"/>
        <w:rPr>
          <w:rFonts w:ascii="David" w:hAnsi="David"/>
          <w:rtl/>
        </w:rPr>
      </w:pPr>
      <w:r>
        <w:rPr>
          <w:rFonts w:ascii="David" w:hAnsi="David" w:hint="cs"/>
          <w:rtl/>
        </w:rPr>
        <w:t xml:space="preserve">(-) </w:t>
      </w:r>
      <w:r>
        <w:rPr>
          <w:rFonts w:ascii="David" w:hAnsi="David" w:hint="cs"/>
          <w:rtl/>
        </w:rPr>
        <w:tab/>
      </w:r>
      <w:r w:rsidRPr="00FB5535">
        <w:rPr>
          <w:rFonts w:ascii="David" w:hAnsi="David" w:hint="cs"/>
          <w:b/>
          <w:bCs/>
          <w:rtl/>
        </w:rPr>
        <w:t>מצב שני</w:t>
      </w:r>
      <w:r>
        <w:rPr>
          <w:rFonts w:ascii="David" w:hAnsi="David" w:hint="cs"/>
          <w:rtl/>
        </w:rPr>
        <w:t xml:space="preserve"> אין כדור בבית הבליעה, המחסנית נמצאת באקדח אך היא משוחררת מהתפס.  </w:t>
      </w:r>
    </w:p>
    <w:p w:rsidR="00272CAC" w:rsidRDefault="00272CAC" w:rsidP="00272CAC">
      <w:pPr>
        <w:spacing w:line="360" w:lineRule="auto"/>
        <w:ind w:left="720"/>
        <w:contextualSpacing/>
        <w:jc w:val="both"/>
        <w:rPr>
          <w:rFonts w:ascii="David" w:hAnsi="David"/>
          <w:rtl/>
        </w:rPr>
      </w:pPr>
      <w:r>
        <w:rPr>
          <w:rFonts w:ascii="David" w:hAnsi="David"/>
          <w:rtl/>
        </w:rPr>
        <w:tab/>
      </w:r>
      <w:r>
        <w:rPr>
          <w:rFonts w:ascii="David" w:hAnsi="David" w:hint="cs"/>
          <w:rtl/>
        </w:rPr>
        <w:t>מצב זה יוצר מספר אפשרויות להבין את מה שקרה :</w:t>
      </w:r>
    </w:p>
    <w:p w:rsidR="00272CAC" w:rsidRDefault="00272CAC" w:rsidP="00272CAC">
      <w:pPr>
        <w:spacing w:line="360" w:lineRule="auto"/>
        <w:ind w:left="1440"/>
        <w:contextualSpacing/>
        <w:jc w:val="both"/>
        <w:rPr>
          <w:rFonts w:ascii="David" w:hAnsi="David"/>
          <w:rtl/>
        </w:rPr>
      </w:pPr>
      <w:r w:rsidRPr="00E52E52">
        <w:rPr>
          <w:rFonts w:ascii="David" w:hAnsi="David" w:hint="cs"/>
          <w:u w:val="single"/>
          <w:rtl/>
        </w:rPr>
        <w:lastRenderedPageBreak/>
        <w:t>אפשרות אחת</w:t>
      </w:r>
      <w:r>
        <w:rPr>
          <w:rFonts w:ascii="David" w:hAnsi="David" w:hint="cs"/>
          <w:rtl/>
        </w:rPr>
        <w:t xml:space="preserve"> כמתואר בכתב האישום - הנאשם שחרר את תפס המחסנית והנמיכה מעט (הוציאה ממקומה), דרך את הנשק, כיוון את האקדח וירה. אפשרות זו </w:t>
      </w:r>
      <w:r>
        <w:rPr>
          <w:rFonts w:ascii="David" w:hAnsi="David" w:hint="cs"/>
          <w:u w:val="single"/>
          <w:rtl/>
        </w:rPr>
        <w:t xml:space="preserve">שהיא גם גרסת </w:t>
      </w:r>
      <w:r w:rsidRPr="008B5B5B">
        <w:rPr>
          <w:rFonts w:ascii="David" w:hAnsi="David" w:hint="cs"/>
          <w:u w:val="single"/>
          <w:rtl/>
        </w:rPr>
        <w:t xml:space="preserve">הנאשם </w:t>
      </w:r>
      <w:r w:rsidRPr="008B5B5B">
        <w:rPr>
          <w:rFonts w:ascii="David" w:hAnsi="David" w:hint="cs"/>
          <w:b/>
          <w:bCs/>
          <w:u w:val="single"/>
          <w:rtl/>
        </w:rPr>
        <w:t>נשללה ע"</w:t>
      </w:r>
      <w:r w:rsidRPr="008B5B5B">
        <w:rPr>
          <w:rFonts w:ascii="David" w:hAnsi="David" w:hint="cs"/>
          <w:u w:val="single"/>
          <w:rtl/>
        </w:rPr>
        <w:t>י מומחה ההגנה</w:t>
      </w:r>
      <w:r>
        <w:rPr>
          <w:rFonts w:ascii="David" w:hAnsi="David" w:hint="cs"/>
          <w:rtl/>
        </w:rPr>
        <w:t>, וכאמור גם מסקנת מומחה המז"פ תומכת בכך שבמצב כזה לא ייגרף כדור לבית הבליעה;</w:t>
      </w:r>
    </w:p>
    <w:p w:rsidR="00272CAC" w:rsidRDefault="00272CAC" w:rsidP="00272CAC">
      <w:pPr>
        <w:spacing w:line="360" w:lineRule="auto"/>
        <w:ind w:left="1440"/>
        <w:contextualSpacing/>
        <w:jc w:val="both"/>
        <w:rPr>
          <w:rFonts w:ascii="David" w:hAnsi="David"/>
          <w:rtl/>
        </w:rPr>
      </w:pPr>
      <w:r w:rsidRPr="00E52E52">
        <w:rPr>
          <w:rFonts w:ascii="David" w:hAnsi="David" w:hint="cs"/>
          <w:u w:val="single"/>
          <w:rtl/>
        </w:rPr>
        <w:t xml:space="preserve">אפשרות שניה </w:t>
      </w:r>
      <w:r>
        <w:rPr>
          <w:rFonts w:ascii="David" w:hAnsi="David"/>
          <w:rtl/>
        </w:rPr>
        <w:t>–</w:t>
      </w:r>
      <w:r>
        <w:rPr>
          <w:rFonts w:ascii="David" w:hAnsi="David" w:hint="cs"/>
          <w:rtl/>
        </w:rPr>
        <w:t xml:space="preserve"> הנשק היה דרוך וטעון מסיבה כזו או אחרת (שלא הובררה </w:t>
      </w:r>
      <w:r>
        <w:rPr>
          <w:rFonts w:ascii="David" w:hAnsi="David"/>
          <w:rtl/>
        </w:rPr>
        <w:t>–</w:t>
      </w:r>
      <w:r>
        <w:rPr>
          <w:rFonts w:ascii="David" w:hAnsi="David" w:hint="cs"/>
          <w:rtl/>
        </w:rPr>
        <w:t xml:space="preserve"> מומחה ההגנה הציע דריכה לא מבוקרת באמצעות הפונדה), הנאשם שחרר מעט את תפס המחסנית והנמיכה וביצע דריכה חלקית או "חלבית", ואז ירה. לטעמי גם אפשרות זו אינה ריאלית משום שנדרשות בו זמנית שתי פעולות שאינן רגילות או שגרתיות, ניכר הקושי בביצוען בזמן ההדגמה ע"י מומחה ההגנה במטווח, והנאשם כלל לא העיד ואף לא רמז על כך שאפילו אחת מפעולות אלו התרחשה עובר לירי במנוח;        </w:t>
      </w:r>
    </w:p>
    <w:p w:rsidR="00272CAC" w:rsidRDefault="00272CAC" w:rsidP="00272CAC">
      <w:pPr>
        <w:spacing w:line="360" w:lineRule="auto"/>
        <w:ind w:left="1440"/>
        <w:contextualSpacing/>
        <w:jc w:val="both"/>
        <w:rPr>
          <w:rFonts w:ascii="David" w:hAnsi="David"/>
          <w:rtl/>
        </w:rPr>
      </w:pPr>
      <w:r w:rsidRPr="00E52E52">
        <w:rPr>
          <w:rFonts w:ascii="David" w:hAnsi="David"/>
          <w:u w:val="single"/>
          <w:rtl/>
        </w:rPr>
        <w:t xml:space="preserve">אפשרות </w:t>
      </w:r>
      <w:r w:rsidRPr="00E52E52">
        <w:rPr>
          <w:rFonts w:ascii="David" w:hAnsi="David" w:hint="cs"/>
          <w:u w:val="single"/>
          <w:rtl/>
        </w:rPr>
        <w:t>שלישית</w:t>
      </w:r>
      <w:r>
        <w:rPr>
          <w:rFonts w:ascii="David" w:hAnsi="David" w:hint="cs"/>
          <w:rtl/>
        </w:rPr>
        <w:t xml:space="preserve"> </w:t>
      </w:r>
      <w:r w:rsidRPr="00FD6BF5">
        <w:rPr>
          <w:rFonts w:ascii="David" w:hAnsi="David"/>
          <w:rtl/>
        </w:rPr>
        <w:t xml:space="preserve">– באחד מ"משחקי" הנשק של הנאשם נדרך האקדח, וכשהוא הוציאו הוא שחרר את תפס המחסנית וללא דריכה נוספת כיוון וירה. אפשרות זו </w:t>
      </w:r>
      <w:r>
        <w:rPr>
          <w:rFonts w:ascii="David" w:hAnsi="David" w:hint="cs"/>
          <w:rtl/>
        </w:rPr>
        <w:t xml:space="preserve">יכולה להתיישב עם מנגנון הנשק  אולם אינה מתיישבת עם הנטען בכתב האישום, עם </w:t>
      </w:r>
      <w:r w:rsidRPr="00FD6BF5">
        <w:rPr>
          <w:rFonts w:ascii="David" w:hAnsi="David"/>
          <w:rtl/>
        </w:rPr>
        <w:t>עדות הנאשם</w:t>
      </w:r>
      <w:r>
        <w:rPr>
          <w:rFonts w:ascii="David" w:hAnsi="David" w:hint="cs"/>
          <w:rtl/>
        </w:rPr>
        <w:t xml:space="preserve"> ועם תשובתו לכתב האישום המתוקן</w:t>
      </w:r>
      <w:r w:rsidRPr="00FD6BF5">
        <w:rPr>
          <w:rFonts w:ascii="David" w:hAnsi="David"/>
          <w:rtl/>
        </w:rPr>
        <w:t xml:space="preserve">, </w:t>
      </w:r>
      <w:r>
        <w:rPr>
          <w:rFonts w:ascii="David" w:hAnsi="David" w:hint="cs"/>
          <w:rtl/>
        </w:rPr>
        <w:t xml:space="preserve">בשעה </w:t>
      </w:r>
      <w:r w:rsidRPr="00FD6BF5">
        <w:rPr>
          <w:rFonts w:ascii="David" w:hAnsi="David"/>
          <w:rtl/>
        </w:rPr>
        <w:t>ש</w:t>
      </w:r>
      <w:r>
        <w:rPr>
          <w:rFonts w:ascii="David" w:hAnsi="David" w:hint="cs"/>
          <w:rtl/>
        </w:rPr>
        <w:t xml:space="preserve">גרסתו היא שהוא </w:t>
      </w:r>
      <w:r w:rsidRPr="00FD6BF5">
        <w:rPr>
          <w:rFonts w:ascii="David" w:hAnsi="David"/>
          <w:rtl/>
        </w:rPr>
        <w:t>דרך את הנשק</w:t>
      </w:r>
      <w:r>
        <w:rPr>
          <w:rFonts w:ascii="David" w:hAnsi="David" w:hint="cs"/>
          <w:rtl/>
        </w:rPr>
        <w:t xml:space="preserve"> לפני שירה; </w:t>
      </w:r>
    </w:p>
    <w:p w:rsidR="00272CAC" w:rsidRDefault="00272CAC" w:rsidP="00272CAC">
      <w:pPr>
        <w:spacing w:line="360" w:lineRule="auto"/>
        <w:ind w:left="1440"/>
        <w:contextualSpacing/>
        <w:jc w:val="both"/>
        <w:rPr>
          <w:rFonts w:ascii="David" w:hAnsi="David"/>
          <w:rtl/>
        </w:rPr>
      </w:pPr>
      <w:r w:rsidRPr="00E52E52">
        <w:rPr>
          <w:rFonts w:ascii="David" w:hAnsi="David" w:hint="cs"/>
          <w:u w:val="single"/>
          <w:rtl/>
        </w:rPr>
        <w:t>אפשרות רביעית</w:t>
      </w:r>
      <w:r>
        <w:rPr>
          <w:rFonts w:ascii="David" w:hAnsi="David" w:hint="cs"/>
          <w:rtl/>
        </w:rPr>
        <w:t xml:space="preserve">  </w:t>
      </w:r>
      <w:r>
        <w:rPr>
          <w:rFonts w:ascii="David" w:hAnsi="David"/>
          <w:rtl/>
        </w:rPr>
        <w:t>–</w:t>
      </w:r>
      <w:r>
        <w:rPr>
          <w:rFonts w:ascii="David" w:hAnsi="David" w:hint="cs"/>
          <w:rtl/>
        </w:rPr>
        <w:t xml:space="preserve"> כפי שהציע השופט ליפשיץ - והיא האפשרות המסתברת גם בעיני - שהנאשם עשה את הפעולות בו זמנית, הוא לחץ על תפס המחסנית ודרך את הנשק ובפעולה זו נכנס כדור לבית הבליעה, משום שפעולת הדריכה קדמה (ולו בשבריר) לפעולת הלחיצה על תפס המחסנית כדי להנמיכה. </w:t>
      </w:r>
    </w:p>
    <w:p w:rsidR="00272CAC" w:rsidRDefault="00272CAC" w:rsidP="00272CAC">
      <w:pPr>
        <w:spacing w:line="360" w:lineRule="auto"/>
        <w:ind w:left="720" w:hanging="720"/>
        <w:contextualSpacing/>
        <w:jc w:val="both"/>
        <w:rPr>
          <w:rFonts w:ascii="David" w:hAnsi="David"/>
          <w:rtl/>
        </w:rPr>
      </w:pPr>
      <w:r>
        <w:rPr>
          <w:rFonts w:ascii="David" w:hAnsi="David"/>
          <w:rtl/>
        </w:rPr>
        <w:tab/>
      </w:r>
      <w:r>
        <w:rPr>
          <w:rFonts w:ascii="David" w:hAnsi="David" w:hint="cs"/>
          <w:rtl/>
        </w:rPr>
        <w:t xml:space="preserve"> </w:t>
      </w:r>
    </w:p>
    <w:p w:rsidR="00272CAC" w:rsidRDefault="00272CAC" w:rsidP="00272CAC">
      <w:pPr>
        <w:spacing w:line="360" w:lineRule="auto"/>
        <w:ind w:left="720" w:hanging="720"/>
        <w:contextualSpacing/>
        <w:jc w:val="both"/>
        <w:rPr>
          <w:rFonts w:ascii="David" w:hAnsi="David"/>
          <w:rtl/>
        </w:rPr>
      </w:pPr>
      <w:r>
        <w:rPr>
          <w:rFonts w:ascii="David" w:hAnsi="David" w:hint="cs"/>
          <w:rtl/>
        </w:rPr>
        <w:t>9.</w:t>
      </w:r>
      <w:r>
        <w:rPr>
          <w:rFonts w:ascii="David" w:hAnsi="David" w:hint="cs"/>
          <w:rtl/>
        </w:rPr>
        <w:tab/>
        <w:t xml:space="preserve">ייתכן שקיימות אפשרויות נוספות להבין את מה שאירע, אולם לא מצאתי שהן עלו מהראיות או מהעדויות שנשמעו. </w:t>
      </w:r>
    </w:p>
    <w:p w:rsidR="00272CAC" w:rsidRDefault="00272CAC" w:rsidP="00272CAC">
      <w:pPr>
        <w:spacing w:line="360" w:lineRule="auto"/>
        <w:ind w:left="720" w:hanging="720"/>
        <w:contextualSpacing/>
        <w:jc w:val="both"/>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10.</w:t>
      </w:r>
      <w:r>
        <w:rPr>
          <w:rFonts w:ascii="David" w:hAnsi="David" w:hint="cs"/>
          <w:rtl/>
        </w:rPr>
        <w:tab/>
        <w:t xml:space="preserve">אפנה, כי האפשרויות שציינתי לעיל נסמכות בין היתר על כתב האישום ועל גרסת הנאשם. אלא שבהקשר אחרון זה ישנם קשיים רבים ולטעמי בלתי אפשרי לסמוך על גרסתו או לאמצה ולו בחלקה. הנאשם מסר גרסאות שהלכו והתפתחו מאז חקירתו במח"ש ובהמשך עם שמיעת הראיות, החל בהכחשה מוחלטת והטלת האחריות לירי על המנוח עצמו, ועד להודיה בירי לצד תיאורים משתנים חדשות לבקרים במהלך עדותו בבית המשפט. הנאשם לא היסס להתחמק משאלות שהופנו אליו, להשיב תשובות שקריות ופתלתלות, ולהציג בכל פעם גרסה שנראתה מתאימה וראויה יותר בעיניו, כפי המפורט בהרחבה בחוות דעתו של השופט ליפשיץ ובסיכומי ב"כ המאשימה, באופן שכאמור אינו מאפשר לקבל את דבריו, </w:t>
      </w:r>
      <w:r w:rsidRPr="004D1C74">
        <w:rPr>
          <w:rFonts w:ascii="David" w:hAnsi="David" w:hint="cs"/>
          <w:b/>
          <w:bCs/>
          <w:rtl/>
        </w:rPr>
        <w:t>לרבות את תיאוריו למדובב</w:t>
      </w:r>
      <w:r>
        <w:rPr>
          <w:rFonts w:ascii="David" w:hAnsi="David" w:hint="cs"/>
          <w:rtl/>
        </w:rPr>
        <w:t xml:space="preserve"> משום שגם לו הוא מסר כמה גרסאות ותיאורים.      </w:t>
      </w:r>
    </w:p>
    <w:p w:rsidR="00272CAC" w:rsidRDefault="00272CAC" w:rsidP="00272CAC">
      <w:pPr>
        <w:spacing w:line="360" w:lineRule="auto"/>
        <w:ind w:left="720" w:hanging="720"/>
        <w:contextualSpacing/>
        <w:jc w:val="both"/>
        <w:rPr>
          <w:rFonts w:ascii="David" w:hAnsi="David"/>
          <w:rtl/>
        </w:rPr>
      </w:pPr>
    </w:p>
    <w:p w:rsidR="00272CAC" w:rsidRPr="00193CCC" w:rsidRDefault="00272CAC" w:rsidP="00272CAC">
      <w:pPr>
        <w:spacing w:line="360" w:lineRule="auto"/>
        <w:ind w:left="720" w:hanging="720"/>
        <w:contextualSpacing/>
        <w:jc w:val="both"/>
        <w:rPr>
          <w:rFonts w:ascii="David" w:hAnsi="David"/>
          <w:rtl/>
        </w:rPr>
      </w:pPr>
      <w:r>
        <w:rPr>
          <w:rFonts w:ascii="David" w:hAnsi="David" w:hint="cs"/>
          <w:rtl/>
        </w:rPr>
        <w:lastRenderedPageBreak/>
        <w:t>11.</w:t>
      </w:r>
      <w:r>
        <w:rPr>
          <w:rFonts w:ascii="David" w:hAnsi="David"/>
          <w:rtl/>
        </w:rPr>
        <w:tab/>
      </w:r>
      <w:r>
        <w:rPr>
          <w:rFonts w:ascii="David" w:hAnsi="David" w:hint="cs"/>
          <w:rtl/>
        </w:rPr>
        <w:t>מכל האמור עולה כי לא ניתן לסמוך על גרסת הנאשם לגבי מה שאירע, ולצד זאת גם הנטען בכתב האישום הוא מוקשה ואינו מתיישב עם יתר הממצאים, והדבר ניכר בסיכומי ב"כ המאשימה בהם נטען: "</w:t>
      </w:r>
      <w:r w:rsidRPr="00193CCC">
        <w:rPr>
          <w:rFonts w:ascii="David" w:hAnsi="David"/>
          <w:b/>
          <w:bCs/>
          <w:rtl/>
        </w:rPr>
        <w:t>ייתכן ותפס המחסנית לא נלח</w:t>
      </w:r>
      <w:r w:rsidRPr="00193CCC">
        <w:rPr>
          <w:rFonts w:ascii="David" w:hAnsi="David" w:hint="cs"/>
          <w:b/>
          <w:bCs/>
          <w:rtl/>
        </w:rPr>
        <w:t>ץ</w:t>
      </w:r>
      <w:r w:rsidRPr="00193CCC">
        <w:rPr>
          <w:rFonts w:ascii="David" w:hAnsi="David"/>
          <w:b/>
          <w:bCs/>
          <w:rtl/>
        </w:rPr>
        <w:t xml:space="preserve"> עד סופו או שאירע מה שאירע לנאשם במטווח והוא לא הצליח ללחו</w:t>
      </w:r>
      <w:r w:rsidRPr="00193CCC">
        <w:rPr>
          <w:rFonts w:ascii="David" w:hAnsi="David" w:hint="cs"/>
          <w:b/>
          <w:bCs/>
          <w:rtl/>
        </w:rPr>
        <w:t xml:space="preserve">ץ </w:t>
      </w:r>
      <w:r w:rsidRPr="00193CCC">
        <w:rPr>
          <w:rFonts w:ascii="David" w:hAnsi="David"/>
          <w:b/>
          <w:bCs/>
          <w:rtl/>
        </w:rPr>
        <w:t>על התפס באופן אפקטיבי, היינו המחסנית בפועל לא זזה</w:t>
      </w:r>
      <w:r w:rsidRPr="00193CCC">
        <w:rPr>
          <w:rFonts w:ascii="David" w:hAnsi="David"/>
          <w:rtl/>
        </w:rPr>
        <w:t xml:space="preserve"> </w:t>
      </w:r>
      <w:r w:rsidRPr="00193CCC">
        <w:rPr>
          <w:rFonts w:ascii="David" w:hAnsi="David"/>
          <w:b/>
          <w:bCs/>
          <w:rtl/>
        </w:rPr>
        <w:t>מקומה/לא שוחררה/לא הונמכה</w:t>
      </w:r>
      <w:r w:rsidRPr="00193CCC">
        <w:rPr>
          <w:rFonts w:ascii="David" w:hAnsi="David" w:hint="cs"/>
          <w:b/>
          <w:bCs/>
          <w:rtl/>
        </w:rPr>
        <w:t xml:space="preserve"> </w:t>
      </w:r>
      <w:r w:rsidRPr="00193CCC">
        <w:rPr>
          <w:rFonts w:ascii="David" w:hAnsi="David"/>
          <w:b/>
          <w:bCs/>
          <w:rtl/>
        </w:rPr>
        <w:t>וכך נגרף כדור לבית הבליעה</w:t>
      </w:r>
      <w:r w:rsidRPr="00193CCC">
        <w:rPr>
          <w:rFonts w:ascii="David" w:hAnsi="David"/>
          <w:b/>
          <w:bCs/>
          <w:u w:val="single"/>
          <w:rtl/>
        </w:rPr>
        <w:t xml:space="preserve">. </w:t>
      </w:r>
      <w:r w:rsidRPr="00193CCC">
        <w:rPr>
          <w:rFonts w:ascii="David" w:hAnsi="David"/>
          <w:b/>
          <w:bCs/>
          <w:i/>
          <w:iCs/>
          <w:sz w:val="28"/>
          <w:szCs w:val="28"/>
          <w:u w:val="single"/>
          <w:rtl/>
        </w:rPr>
        <w:t>בנקודה זו, הודאתו של הנאשם בפני המדובב הינה ראיה מרכזית</w:t>
      </w:r>
      <w:r w:rsidRPr="00193CCC">
        <w:rPr>
          <w:rFonts w:ascii="David" w:hAnsi="David" w:hint="cs"/>
          <w:b/>
          <w:bCs/>
          <w:i/>
          <w:iCs/>
          <w:sz w:val="28"/>
          <w:szCs w:val="28"/>
          <w:u w:val="single"/>
          <w:rtl/>
        </w:rPr>
        <w:t xml:space="preserve"> </w:t>
      </w:r>
      <w:r w:rsidRPr="00193CCC">
        <w:rPr>
          <w:rFonts w:ascii="David" w:hAnsi="David"/>
          <w:b/>
          <w:bCs/>
          <w:i/>
          <w:iCs/>
          <w:sz w:val="28"/>
          <w:szCs w:val="28"/>
          <w:u w:val="single"/>
          <w:rtl/>
        </w:rPr>
        <w:t>בביסוס עובדות כתב האישום.</w:t>
      </w:r>
      <w:r w:rsidRPr="00193CCC">
        <w:rPr>
          <w:rFonts w:ascii="David" w:hAnsi="David"/>
          <w:b/>
          <w:bCs/>
          <w:rtl/>
        </w:rPr>
        <w:t xml:space="preserve"> כאמור, למדובב, תיאר זאת הנאשם כך:</w:t>
      </w:r>
      <w:r>
        <w:rPr>
          <w:rFonts w:ascii="David" w:hAnsi="David" w:hint="cs"/>
          <w:b/>
          <w:bCs/>
          <w:rtl/>
        </w:rPr>
        <w:t xml:space="preserve"> </w:t>
      </w:r>
      <w:r w:rsidRPr="00193CCC">
        <w:rPr>
          <w:rFonts w:ascii="David" w:hAnsi="David"/>
          <w:b/>
          <w:bCs/>
          <w:rtl/>
        </w:rPr>
        <w:t>לשאלת המדובב - "היה עם מחסנית משהו!?</w:t>
      </w:r>
      <w:r w:rsidRPr="00193CCC">
        <w:rPr>
          <w:rFonts w:ascii="David" w:hAnsi="David" w:hint="cs"/>
          <w:b/>
          <w:bCs/>
          <w:rtl/>
        </w:rPr>
        <w:t>"</w:t>
      </w:r>
      <w:r w:rsidRPr="00193CCC">
        <w:rPr>
          <w:rFonts w:ascii="David" w:hAnsi="David"/>
          <w:b/>
          <w:bCs/>
          <w:rtl/>
        </w:rPr>
        <w:t xml:space="preserve">, ענה הנאשם </w:t>
      </w:r>
      <w:r w:rsidRPr="00193CCC">
        <w:rPr>
          <w:rFonts w:ascii="David" w:hAnsi="David" w:hint="cs"/>
          <w:b/>
          <w:bCs/>
          <w:rtl/>
        </w:rPr>
        <w:t>"</w:t>
      </w:r>
      <w:r w:rsidRPr="00193CCC">
        <w:rPr>
          <w:rFonts w:ascii="David" w:hAnsi="David"/>
          <w:b/>
          <w:bCs/>
          <w:u w:val="single"/>
          <w:rtl/>
        </w:rPr>
        <w:t>זּה היה עם מחסנית</w:t>
      </w:r>
      <w:r w:rsidRPr="00193CCC">
        <w:rPr>
          <w:rFonts w:ascii="David" w:hAnsi="David" w:hint="cs"/>
          <w:b/>
          <w:bCs/>
          <w:u w:val="single"/>
          <w:rtl/>
        </w:rPr>
        <w:t>"</w:t>
      </w:r>
      <w:r w:rsidRPr="00193CCC">
        <w:rPr>
          <w:rFonts w:ascii="David" w:hAnsi="David" w:hint="cs"/>
          <w:b/>
          <w:bCs/>
          <w:rtl/>
        </w:rPr>
        <w:t xml:space="preserve"> </w:t>
      </w:r>
      <w:r>
        <w:rPr>
          <w:rFonts w:ascii="David" w:hAnsi="David"/>
          <w:b/>
          <w:bCs/>
          <w:rtl/>
        </w:rPr>
        <w:t>–</w:t>
      </w:r>
      <w:r w:rsidRPr="00193CCC">
        <w:rPr>
          <w:rFonts w:ascii="David" w:hAnsi="David" w:hint="cs"/>
          <w:b/>
          <w:bCs/>
          <w:rtl/>
        </w:rPr>
        <w:t xml:space="preserve"> </w:t>
      </w:r>
    </w:p>
    <w:p w:rsidR="00272CAC" w:rsidRDefault="00272CAC" w:rsidP="00272CAC">
      <w:pPr>
        <w:spacing w:line="360" w:lineRule="auto"/>
        <w:ind w:left="720"/>
        <w:contextualSpacing/>
        <w:jc w:val="both"/>
        <w:rPr>
          <w:rFonts w:ascii="David" w:hAnsi="David"/>
          <w:rtl/>
        </w:rPr>
      </w:pPr>
    </w:p>
    <w:p w:rsidR="00272CAC" w:rsidRDefault="00272CAC" w:rsidP="00272CAC">
      <w:pPr>
        <w:spacing w:line="360" w:lineRule="auto"/>
        <w:ind w:left="720"/>
        <w:contextualSpacing/>
        <w:jc w:val="both"/>
        <w:rPr>
          <w:rFonts w:ascii="David" w:hAnsi="David"/>
          <w:rtl/>
        </w:rPr>
      </w:pPr>
      <w:r>
        <w:rPr>
          <w:rFonts w:ascii="David" w:hAnsi="David" w:hint="cs"/>
          <w:rtl/>
        </w:rPr>
        <w:t>ועוד נטען בסיכומים:</w:t>
      </w:r>
    </w:p>
    <w:p w:rsidR="00272CAC" w:rsidRDefault="00272CAC" w:rsidP="00272CAC">
      <w:pPr>
        <w:spacing w:line="360" w:lineRule="auto"/>
        <w:ind w:left="720"/>
        <w:contextualSpacing/>
        <w:jc w:val="both"/>
        <w:rPr>
          <w:rFonts w:ascii="David" w:hAnsi="David"/>
          <w:rtl/>
        </w:rPr>
      </w:pPr>
      <w:r w:rsidRPr="00193CCC">
        <w:rPr>
          <w:rFonts w:ascii="David" w:hAnsi="David" w:hint="cs"/>
          <w:b/>
          <w:bCs/>
          <w:rtl/>
        </w:rPr>
        <w:t>"</w:t>
      </w:r>
      <w:r w:rsidRPr="00193CCC">
        <w:rPr>
          <w:rFonts w:ascii="David" w:hAnsi="David"/>
          <w:b/>
          <w:bCs/>
          <w:rtl/>
        </w:rPr>
        <w:t xml:space="preserve">אם כך, </w:t>
      </w:r>
      <w:r w:rsidRPr="00193CCC">
        <w:rPr>
          <w:rFonts w:ascii="David" w:hAnsi="David"/>
          <w:b/>
          <w:bCs/>
          <w:u w:val="single"/>
          <w:rtl/>
        </w:rPr>
        <w:t>בהחלט ייתכן שבפועל</w:t>
      </w:r>
      <w:r w:rsidRPr="00193CCC">
        <w:rPr>
          <w:rFonts w:ascii="David" w:hAnsi="David"/>
          <w:b/>
          <w:bCs/>
          <w:rtl/>
        </w:rPr>
        <w:t xml:space="preserve">, למרות הלחיצה על תפס המחסנית, </w:t>
      </w:r>
      <w:r w:rsidRPr="00193CCC">
        <w:rPr>
          <w:rFonts w:ascii="David" w:hAnsi="David"/>
          <w:b/>
          <w:bCs/>
          <w:u w:val="single"/>
          <w:rtl/>
        </w:rPr>
        <w:t>המחסנית לא הונמכה</w:t>
      </w:r>
      <w:r w:rsidRPr="00193CCC">
        <w:rPr>
          <w:rFonts w:ascii="David" w:hAnsi="David" w:hint="cs"/>
          <w:b/>
          <w:bCs/>
          <w:u w:val="single"/>
          <w:rtl/>
        </w:rPr>
        <w:t xml:space="preserve"> </w:t>
      </w:r>
      <w:r w:rsidRPr="00193CCC">
        <w:rPr>
          <w:rFonts w:ascii="David" w:hAnsi="David"/>
          <w:b/>
          <w:bCs/>
          <w:u w:val="single"/>
          <w:rtl/>
        </w:rPr>
        <w:t>כלל</w:t>
      </w:r>
      <w:r w:rsidRPr="00193CCC">
        <w:rPr>
          <w:rFonts w:ascii="David" w:hAnsi="David"/>
          <w:b/>
          <w:bCs/>
          <w:rtl/>
        </w:rPr>
        <w:t>. ייתכן והנאשם חשב שלח</w:t>
      </w:r>
      <w:r w:rsidRPr="00193CCC">
        <w:rPr>
          <w:rFonts w:ascii="David" w:hAnsi="David" w:hint="cs"/>
          <w:b/>
          <w:bCs/>
          <w:rtl/>
        </w:rPr>
        <w:t xml:space="preserve">ץ </w:t>
      </w:r>
      <w:r w:rsidRPr="00193CCC">
        <w:rPr>
          <w:rFonts w:ascii="David" w:hAnsi="David"/>
          <w:b/>
          <w:bCs/>
          <w:rtl/>
        </w:rPr>
        <w:t xml:space="preserve">(והנמיך את המחסנית אך לא עשה </w:t>
      </w:r>
      <w:r>
        <w:rPr>
          <w:rFonts w:ascii="David" w:hAnsi="David"/>
          <w:b/>
          <w:bCs/>
          <w:rtl/>
        </w:rPr>
        <w:t>זאת, או לח</w:t>
      </w:r>
      <w:r>
        <w:rPr>
          <w:rFonts w:ascii="David" w:hAnsi="David" w:hint="cs"/>
          <w:b/>
          <w:bCs/>
          <w:rtl/>
        </w:rPr>
        <w:t>ץ</w:t>
      </w:r>
      <w:r w:rsidRPr="00193CCC">
        <w:rPr>
          <w:rFonts w:ascii="David" w:hAnsi="David"/>
          <w:b/>
          <w:bCs/>
          <w:rtl/>
        </w:rPr>
        <w:t xml:space="preserve"> לחיצה קלה</w:t>
      </w:r>
      <w:r w:rsidRPr="00193CCC">
        <w:rPr>
          <w:rFonts w:ascii="David" w:hAnsi="David" w:hint="cs"/>
          <w:b/>
          <w:bCs/>
          <w:rtl/>
        </w:rPr>
        <w:t xml:space="preserve"> </w:t>
      </w:r>
      <w:r w:rsidRPr="00193CCC">
        <w:rPr>
          <w:rFonts w:ascii="David" w:hAnsi="David"/>
          <w:b/>
          <w:bCs/>
          <w:rtl/>
        </w:rPr>
        <w:t>מדי שלא היה בה די כדי לשחרר את המחסנית. כך או כך, בוודאות הנאשם לא ראה את</w:t>
      </w:r>
      <w:r w:rsidRPr="00193CCC">
        <w:rPr>
          <w:rFonts w:ascii="David" w:hAnsi="David" w:hint="cs"/>
          <w:b/>
          <w:bCs/>
          <w:rtl/>
        </w:rPr>
        <w:t xml:space="preserve"> </w:t>
      </w:r>
      <w:r w:rsidRPr="00193CCC">
        <w:rPr>
          <w:rFonts w:ascii="David" w:hAnsi="David"/>
          <w:b/>
          <w:bCs/>
          <w:rtl/>
        </w:rPr>
        <w:t>המחסנית יורדת/משתחררת</w:t>
      </w:r>
      <w:r w:rsidRPr="00193CCC">
        <w:rPr>
          <w:rFonts w:ascii="David" w:hAnsi="David" w:hint="cs"/>
          <w:b/>
          <w:bCs/>
          <w:rtl/>
        </w:rPr>
        <w:t>"</w:t>
      </w:r>
      <w:r>
        <w:rPr>
          <w:rFonts w:ascii="David" w:hAnsi="David" w:hint="cs"/>
          <w:b/>
          <w:bCs/>
          <w:rtl/>
        </w:rPr>
        <w:t xml:space="preserve"> </w:t>
      </w:r>
      <w:r w:rsidRPr="00193CCC">
        <w:rPr>
          <w:rFonts w:ascii="David" w:hAnsi="David" w:hint="cs"/>
          <w:rtl/>
        </w:rPr>
        <w:t>(</w:t>
      </w:r>
      <w:r>
        <w:rPr>
          <w:rFonts w:ascii="David" w:hAnsi="David" w:hint="cs"/>
          <w:rtl/>
        </w:rPr>
        <w:t>עמוד 90 סעיפים 12-</w:t>
      </w:r>
      <w:r w:rsidRPr="00193CCC">
        <w:rPr>
          <w:rFonts w:ascii="David" w:hAnsi="David" w:hint="cs"/>
          <w:rtl/>
        </w:rPr>
        <w:t xml:space="preserve"> 13 לסיכומים</w:t>
      </w:r>
      <w:r>
        <w:rPr>
          <w:rFonts w:ascii="David" w:hAnsi="David" w:hint="cs"/>
          <w:rtl/>
        </w:rPr>
        <w:t>.</w:t>
      </w:r>
      <w:r w:rsidRPr="00193CCC">
        <w:rPr>
          <w:rtl/>
        </w:rPr>
        <w:t xml:space="preserve"> </w:t>
      </w:r>
      <w:r w:rsidRPr="00193CCC">
        <w:rPr>
          <w:rFonts w:ascii="David" w:hAnsi="David"/>
          <w:rtl/>
        </w:rPr>
        <w:t>ההגדלה וההדגשה אינם במקור).</w:t>
      </w:r>
      <w:r>
        <w:rPr>
          <w:rFonts w:ascii="David" w:hAnsi="David" w:hint="cs"/>
          <w:rtl/>
        </w:rPr>
        <w:t xml:space="preserve"> </w:t>
      </w:r>
    </w:p>
    <w:p w:rsidR="00272CAC" w:rsidRDefault="00272CAC" w:rsidP="00272CAC">
      <w:pPr>
        <w:spacing w:line="360" w:lineRule="auto"/>
        <w:ind w:left="720" w:hanging="720"/>
        <w:contextualSpacing/>
        <w:jc w:val="both"/>
        <w:rPr>
          <w:rFonts w:ascii="David" w:hAnsi="David"/>
          <w:rtl/>
        </w:rPr>
      </w:pPr>
      <w:r>
        <w:rPr>
          <w:rFonts w:ascii="David" w:hAnsi="David"/>
          <w:rtl/>
        </w:rPr>
        <w:tab/>
      </w:r>
    </w:p>
    <w:p w:rsidR="00272CAC" w:rsidRPr="009F1064" w:rsidRDefault="00272CAC" w:rsidP="00272CAC">
      <w:pPr>
        <w:spacing w:line="360" w:lineRule="auto"/>
        <w:ind w:left="720"/>
        <w:contextualSpacing/>
        <w:jc w:val="both"/>
        <w:rPr>
          <w:rFonts w:ascii="David" w:hAnsi="David"/>
          <w:u w:val="single"/>
          <w:rtl/>
        </w:rPr>
      </w:pPr>
      <w:r>
        <w:rPr>
          <w:rFonts w:ascii="David" w:hAnsi="David" w:hint="cs"/>
          <w:rtl/>
        </w:rPr>
        <w:t>אלא שלטעמי על פניו עולה קושי ממשי ליישב את הטענות הללו בהשוואה לניסוח המפורש של כתב האישום שלפיו "</w:t>
      </w:r>
      <w:r w:rsidRPr="00193CCC">
        <w:rPr>
          <w:rFonts w:ascii="David" w:hAnsi="David"/>
          <w:b/>
          <w:bCs/>
          <w:u w:val="single"/>
          <w:rtl/>
        </w:rPr>
        <w:t>הנאשם לחץ על תפס המחסנית, הוציאה מעט ממקומה, בניסיון שכך לא ייגרף כדור אל בית הבליעה</w:t>
      </w:r>
      <w:r>
        <w:rPr>
          <w:rFonts w:ascii="David" w:hAnsi="David" w:hint="cs"/>
          <w:b/>
          <w:bCs/>
          <w:u w:val="single"/>
          <w:rtl/>
        </w:rPr>
        <w:t>",</w:t>
      </w:r>
      <w:r>
        <w:rPr>
          <w:rFonts w:ascii="David" w:hAnsi="David" w:hint="cs"/>
          <w:rtl/>
        </w:rPr>
        <w:t xml:space="preserve"> ולא ברור לי כיצד יכולה המאשימה לטעון שהנאשם </w:t>
      </w:r>
      <w:r w:rsidRPr="009F1064">
        <w:rPr>
          <w:rFonts w:ascii="David" w:hAnsi="David" w:hint="cs"/>
          <w:u w:val="single"/>
          <w:rtl/>
        </w:rPr>
        <w:t>רק חשב שלחץ</w:t>
      </w:r>
      <w:r>
        <w:rPr>
          <w:rFonts w:ascii="David" w:hAnsi="David" w:hint="cs"/>
          <w:rtl/>
        </w:rPr>
        <w:t xml:space="preserve"> על התפס; או </w:t>
      </w:r>
      <w:r w:rsidRPr="009F1064">
        <w:rPr>
          <w:rFonts w:ascii="David" w:hAnsi="David" w:hint="cs"/>
          <w:u w:val="single"/>
          <w:rtl/>
        </w:rPr>
        <w:t>ש</w:t>
      </w:r>
      <w:r>
        <w:rPr>
          <w:rFonts w:ascii="David" w:hAnsi="David" w:hint="cs"/>
          <w:u w:val="single"/>
          <w:rtl/>
        </w:rPr>
        <w:t xml:space="preserve">בזמן הירי </w:t>
      </w:r>
      <w:r w:rsidRPr="009F1064">
        <w:rPr>
          <w:rFonts w:ascii="David" w:hAnsi="David" w:hint="cs"/>
          <w:u w:val="single"/>
          <w:rtl/>
        </w:rPr>
        <w:t>האקדח היה עם מחסנית</w:t>
      </w:r>
      <w:r>
        <w:rPr>
          <w:rFonts w:ascii="David" w:hAnsi="David" w:hint="cs"/>
          <w:u w:val="single"/>
          <w:rtl/>
        </w:rPr>
        <w:t>;</w:t>
      </w:r>
      <w:r>
        <w:rPr>
          <w:rFonts w:ascii="David" w:hAnsi="David" w:hint="cs"/>
          <w:rtl/>
        </w:rPr>
        <w:t xml:space="preserve"> או </w:t>
      </w:r>
      <w:r w:rsidRPr="009F1064">
        <w:rPr>
          <w:rFonts w:ascii="David" w:hAnsi="David" w:hint="cs"/>
          <w:u w:val="single"/>
          <w:rtl/>
        </w:rPr>
        <w:t>שהמחסנית לא הוצאה ממקומה</w:t>
      </w:r>
      <w:r>
        <w:rPr>
          <w:rFonts w:ascii="David" w:hAnsi="David" w:hint="cs"/>
          <w:u w:val="single"/>
          <w:rtl/>
        </w:rPr>
        <w:t xml:space="preserve"> כלל, </w:t>
      </w:r>
      <w:r>
        <w:rPr>
          <w:rFonts w:ascii="David" w:hAnsi="David" w:hint="cs"/>
          <w:rtl/>
        </w:rPr>
        <w:t xml:space="preserve">בניגוד לחזית המחלוקת שאותה גדרה המאשימה ושמפניה התגונן הנאשם.  </w:t>
      </w:r>
      <w:r w:rsidRPr="009F1064">
        <w:rPr>
          <w:rFonts w:ascii="David" w:hAnsi="David" w:hint="cs"/>
          <w:u w:val="single"/>
          <w:rtl/>
        </w:rPr>
        <w:t xml:space="preserve"> </w:t>
      </w:r>
    </w:p>
    <w:p w:rsidR="00272CAC" w:rsidRDefault="00272CAC" w:rsidP="00272CAC">
      <w:pPr>
        <w:spacing w:line="360" w:lineRule="auto"/>
        <w:ind w:left="720"/>
        <w:contextualSpacing/>
        <w:jc w:val="both"/>
        <w:rPr>
          <w:rFonts w:ascii="David" w:hAnsi="David"/>
          <w:rtl/>
        </w:rPr>
      </w:pPr>
    </w:p>
    <w:p w:rsidR="00272CAC" w:rsidRDefault="00272CAC" w:rsidP="00272CAC">
      <w:pPr>
        <w:spacing w:line="360" w:lineRule="auto"/>
        <w:ind w:left="720"/>
        <w:contextualSpacing/>
        <w:jc w:val="both"/>
        <w:rPr>
          <w:rFonts w:ascii="David" w:hAnsi="David"/>
          <w:rtl/>
        </w:rPr>
      </w:pPr>
      <w:r>
        <w:rPr>
          <w:rFonts w:ascii="David" w:hAnsi="David" w:hint="cs"/>
          <w:rtl/>
        </w:rPr>
        <w:t xml:space="preserve">מכאן, שאם סברה המאשימה שהנטען בכתב האישום אינו משקף (או אינו יכול לשקף) את מה שקרה, היה עליה לבחון את היתכנות טענותיה מראש עוד בזמן החקירה, אך ההליך כולו נוהל על ידה כאשר הבסיס העובדות הוא אופן הפעולה המפורט בכתב האישום. המאשימה גם לא הסבירה די הצורך מדוע  היא חורגת ממסגרת הטענות שהיא עצמה התוותה, באופן שעל פניו הוא מחמיר יותר עם הנאשם. </w:t>
      </w:r>
    </w:p>
    <w:p w:rsidR="00272CAC" w:rsidRPr="00AC2D88" w:rsidRDefault="00272CAC" w:rsidP="00272CAC">
      <w:pPr>
        <w:spacing w:line="360" w:lineRule="auto"/>
        <w:ind w:left="720"/>
        <w:contextualSpacing/>
        <w:jc w:val="both"/>
        <w:rPr>
          <w:rFonts w:ascii="David" w:hAnsi="David"/>
          <w:rtl/>
        </w:rPr>
      </w:pPr>
      <w:r>
        <w:rPr>
          <w:rFonts w:ascii="David" w:hAnsi="David" w:hint="cs"/>
          <w:rtl/>
        </w:rPr>
        <w:t xml:space="preserve">לצד זאת יש לזכור כי החוק מכיר באפשרות התביעה לשנות את עמדתה בכל הקשור לעבירה בה יורשע הנאשם, וזאת בהתאם לסעיף 184 לחוק סדר הדין הפלילי (נ"מ), הקובע שניתן </w:t>
      </w:r>
      <w:r w:rsidRPr="00FB5535">
        <w:rPr>
          <w:rFonts w:ascii="David" w:hAnsi="David" w:hint="cs"/>
          <w:b/>
          <w:bCs/>
          <w:rtl/>
        </w:rPr>
        <w:t>להרשיע</w:t>
      </w:r>
      <w:r>
        <w:rPr>
          <w:rFonts w:ascii="David" w:hAnsi="David" w:hint="cs"/>
          <w:rtl/>
        </w:rPr>
        <w:t xml:space="preserve"> נאשם </w:t>
      </w:r>
      <w:r>
        <w:rPr>
          <w:rFonts w:ascii="FrankRuehl" w:hAnsi="FrankRuehl" w:cs="FrankRuehl" w:hint="cs"/>
          <w:color w:val="000000"/>
          <w:sz w:val="26"/>
          <w:szCs w:val="26"/>
          <w:rtl/>
        </w:rPr>
        <w:t>ב</w:t>
      </w:r>
      <w:r w:rsidRPr="00EB7D5F">
        <w:rPr>
          <w:rFonts w:ascii="David" w:hAnsi="David"/>
          <w:color w:val="000000"/>
          <w:rtl/>
        </w:rPr>
        <w:t>"</w:t>
      </w:r>
      <w:r w:rsidRPr="00EB7D5F">
        <w:rPr>
          <w:rFonts w:ascii="David" w:hAnsi="David"/>
          <w:b/>
          <w:bCs/>
          <w:color w:val="000000"/>
          <w:rtl/>
        </w:rPr>
        <w:t>עבירה שאשמתו בה נתגלתה מן העובדות שהוכחו...</w:t>
      </w:r>
      <w:r>
        <w:rPr>
          <w:rFonts w:ascii="David" w:hAnsi="David" w:hint="cs"/>
          <w:b/>
          <w:bCs/>
          <w:color w:val="000000"/>
          <w:rtl/>
        </w:rPr>
        <w:t xml:space="preserve"> </w:t>
      </w:r>
      <w:r w:rsidRPr="00EB7D5F">
        <w:rPr>
          <w:rFonts w:ascii="David" w:hAnsi="David"/>
          <w:b/>
          <w:bCs/>
          <w:color w:val="000000"/>
          <w:rtl/>
        </w:rPr>
        <w:t xml:space="preserve">אף אם עובדות אלה </w:t>
      </w:r>
      <w:r w:rsidRPr="00EE579A">
        <w:rPr>
          <w:rFonts w:ascii="David" w:hAnsi="David"/>
          <w:b/>
          <w:bCs/>
          <w:color w:val="000000"/>
          <w:u w:val="single"/>
          <w:rtl/>
        </w:rPr>
        <w:t>לא נטענו בכתב האישום</w:t>
      </w:r>
      <w:r w:rsidRPr="00EB7D5F">
        <w:rPr>
          <w:rFonts w:ascii="David" w:hAnsi="David"/>
          <w:b/>
          <w:bCs/>
          <w:color w:val="000000"/>
          <w:rtl/>
        </w:rPr>
        <w:t>, ובלבד שניתנה לנאשם הזדמנות סבירה להתגונן</w:t>
      </w:r>
      <w:r w:rsidRPr="00FB5535">
        <w:rPr>
          <w:rFonts w:ascii="David" w:hAnsi="David"/>
          <w:rtl/>
        </w:rPr>
        <w:t>..."</w:t>
      </w:r>
      <w:r>
        <w:rPr>
          <w:rFonts w:ascii="David" w:hAnsi="David" w:hint="cs"/>
          <w:rtl/>
        </w:rPr>
        <w:t xml:space="preserve"> </w:t>
      </w:r>
      <w:r w:rsidRPr="00FB5535">
        <w:rPr>
          <w:rFonts w:ascii="David" w:hAnsi="David" w:hint="cs"/>
          <w:rtl/>
        </w:rPr>
        <w:t>(ההדגשה אינה במקור)</w:t>
      </w:r>
      <w:r w:rsidRPr="00EB7D5F">
        <w:rPr>
          <w:rFonts w:ascii="David" w:hAnsi="David"/>
          <w:b/>
          <w:bCs/>
          <w:rtl/>
        </w:rPr>
        <w:t>,</w:t>
      </w:r>
      <w:r>
        <w:rPr>
          <w:rFonts w:ascii="David" w:hAnsi="David" w:hint="cs"/>
          <w:rtl/>
        </w:rPr>
        <w:t xml:space="preserve"> ואף במקום בו נמצא </w:t>
      </w:r>
      <w:r>
        <w:rPr>
          <w:rFonts w:ascii="David" w:hAnsi="David"/>
          <w:rtl/>
        </w:rPr>
        <w:t xml:space="preserve">"שינוי חזית" </w:t>
      </w:r>
      <w:r>
        <w:rPr>
          <w:rFonts w:ascii="David" w:hAnsi="David" w:hint="cs"/>
          <w:rtl/>
        </w:rPr>
        <w:t xml:space="preserve">מצד </w:t>
      </w:r>
      <w:r>
        <w:rPr>
          <w:rFonts w:ascii="David" w:hAnsi="David"/>
          <w:rtl/>
        </w:rPr>
        <w:t xml:space="preserve">התביעה בשלב הסיכומים </w:t>
      </w:r>
      <w:r>
        <w:rPr>
          <w:rFonts w:ascii="David" w:hAnsi="David" w:hint="cs"/>
          <w:rtl/>
        </w:rPr>
        <w:t>א</w:t>
      </w:r>
      <w:r>
        <w:rPr>
          <w:rFonts w:ascii="David" w:hAnsi="David"/>
          <w:rtl/>
        </w:rPr>
        <w:t>ו</w:t>
      </w:r>
      <w:r>
        <w:rPr>
          <w:rFonts w:ascii="David" w:hAnsi="David" w:hint="cs"/>
          <w:rtl/>
        </w:rPr>
        <w:t xml:space="preserve"> שהועלה </w:t>
      </w:r>
      <w:r>
        <w:rPr>
          <w:rFonts w:ascii="David" w:hAnsi="David"/>
          <w:rtl/>
        </w:rPr>
        <w:lastRenderedPageBreak/>
        <w:t xml:space="preserve">טיעון חדש </w:t>
      </w:r>
      <w:r>
        <w:rPr>
          <w:rFonts w:ascii="David" w:hAnsi="David" w:hint="cs"/>
          <w:rtl/>
        </w:rPr>
        <w:t>שעלול להפתיע את הנאשם</w:t>
      </w:r>
      <w:r>
        <w:rPr>
          <w:rFonts w:ascii="David" w:hAnsi="David"/>
          <w:rtl/>
        </w:rPr>
        <w:t xml:space="preserve">, </w:t>
      </w:r>
      <w:r>
        <w:rPr>
          <w:rFonts w:ascii="David" w:hAnsi="David" w:hint="cs"/>
          <w:rtl/>
        </w:rPr>
        <w:t xml:space="preserve">על בית המשפט לבחון האם נפגעה </w:t>
      </w:r>
      <w:r>
        <w:rPr>
          <w:rFonts w:ascii="David" w:hAnsi="David"/>
          <w:rtl/>
        </w:rPr>
        <w:t>זכות</w:t>
      </w:r>
      <w:r>
        <w:rPr>
          <w:rFonts w:ascii="David" w:hAnsi="David" w:hint="cs"/>
          <w:rtl/>
        </w:rPr>
        <w:t>ו</w:t>
      </w:r>
      <w:r>
        <w:rPr>
          <w:rFonts w:ascii="David" w:hAnsi="David"/>
          <w:rtl/>
        </w:rPr>
        <w:t xml:space="preserve"> </w:t>
      </w:r>
      <w:r>
        <w:rPr>
          <w:rFonts w:ascii="David" w:hAnsi="David" w:hint="cs"/>
          <w:rtl/>
        </w:rPr>
        <w:t xml:space="preserve">של </w:t>
      </w:r>
      <w:r>
        <w:rPr>
          <w:rFonts w:ascii="David" w:hAnsi="David"/>
          <w:rtl/>
        </w:rPr>
        <w:t>הנאשם להתגונן</w:t>
      </w:r>
      <w:r>
        <w:rPr>
          <w:rFonts w:ascii="David" w:hAnsi="David" w:hint="cs"/>
          <w:rtl/>
        </w:rPr>
        <w:t xml:space="preserve"> מפני אותו שינוי. המבחן לכך הוא </w:t>
      </w:r>
      <w:r w:rsidRPr="00EB7D5F">
        <w:rPr>
          <w:rFonts w:ascii="David" w:hAnsi="David"/>
          <w:rtl/>
        </w:rPr>
        <w:t>כפול</w:t>
      </w:r>
      <w:r>
        <w:rPr>
          <w:rFonts w:ascii="David" w:hAnsi="David"/>
          <w:rtl/>
        </w:rPr>
        <w:t xml:space="preserve">: האם ניתנה לנאשם הזדמנות טכנית סבירה לזמן ולחקור עדים, להביא ראיות מטעמו וכיוצא בכך; </w:t>
      </w:r>
      <w:r>
        <w:rPr>
          <w:rFonts w:ascii="David" w:hAnsi="David" w:hint="cs"/>
          <w:rtl/>
        </w:rPr>
        <w:t>ו</w:t>
      </w:r>
      <w:r>
        <w:rPr>
          <w:rFonts w:ascii="David" w:hAnsi="David"/>
          <w:rtl/>
        </w:rPr>
        <w:t xml:space="preserve">האם קיבל הנאשם הזדמנות סבירה לגבש ולהציג קו הגנה ביחס לעבירה שעובדותיה לא נטענו בכתב האישום (ע"פ </w:t>
      </w:r>
      <w:r>
        <w:rPr>
          <w:rFonts w:ascii="David" w:hAnsi="David"/>
        </w:rPr>
        <w:t>5102/03</w:t>
      </w:r>
      <w:r>
        <w:rPr>
          <w:rFonts w:ascii="David" w:hAnsi="David"/>
          <w:rtl/>
        </w:rPr>
        <w:t xml:space="preserve"> </w:t>
      </w:r>
      <w:r w:rsidRPr="00AC2D88">
        <w:rPr>
          <w:rFonts w:ascii="David" w:hAnsi="David" w:hint="cs"/>
          <w:rtl/>
        </w:rPr>
        <w:t xml:space="preserve">מדינת ישראל נ' דני קליין </w:t>
      </w:r>
      <w:r>
        <w:rPr>
          <w:rFonts w:ascii="David" w:hAnsi="David" w:hint="cs"/>
          <w:rtl/>
        </w:rPr>
        <w:t xml:space="preserve">(4.9.2007); ספרו של </w:t>
      </w:r>
      <w:r>
        <w:rPr>
          <w:rFonts w:ascii="David" w:hAnsi="David"/>
          <w:rtl/>
        </w:rPr>
        <w:t xml:space="preserve">קדמי </w:t>
      </w:r>
      <w:r w:rsidRPr="00AC2D88">
        <w:rPr>
          <w:rFonts w:ascii="David" w:hAnsi="David" w:hint="cs"/>
          <w:rtl/>
        </w:rPr>
        <w:t>"</w:t>
      </w:r>
      <w:r w:rsidRPr="0033409F">
        <w:rPr>
          <w:rFonts w:ascii="David" w:hAnsi="David"/>
          <w:b/>
          <w:bCs/>
          <w:rtl/>
        </w:rPr>
        <w:t>על סדר הדין בפלילים</w:t>
      </w:r>
      <w:r w:rsidRPr="0033409F">
        <w:rPr>
          <w:rFonts w:ascii="David" w:hAnsi="David" w:hint="cs"/>
          <w:b/>
          <w:bCs/>
          <w:rtl/>
        </w:rPr>
        <w:t>"</w:t>
      </w:r>
      <w:r w:rsidRPr="00AC2D88">
        <w:rPr>
          <w:rFonts w:ascii="David" w:hAnsi="David"/>
          <w:rtl/>
        </w:rPr>
        <w:t xml:space="preserve"> (תל- אביב, 2009)</w:t>
      </w:r>
      <w:r>
        <w:rPr>
          <w:rFonts w:ascii="David" w:hAnsi="David" w:hint="cs"/>
          <w:rtl/>
        </w:rPr>
        <w:t xml:space="preserve"> </w:t>
      </w:r>
      <w:r w:rsidRPr="00AC2D88">
        <w:rPr>
          <w:rFonts w:ascii="David" w:hAnsi="David"/>
          <w:rtl/>
        </w:rPr>
        <w:t xml:space="preserve">(חלק שני) בעמ' </w:t>
      </w:r>
      <w:r>
        <w:rPr>
          <w:rFonts w:ascii="David" w:hAnsi="David" w:hint="cs"/>
          <w:rtl/>
        </w:rPr>
        <w:t>1</w:t>
      </w:r>
      <w:r w:rsidRPr="00AC2D88">
        <w:rPr>
          <w:rFonts w:ascii="David" w:hAnsi="David"/>
          <w:rtl/>
        </w:rPr>
        <w:t>495</w:t>
      </w:r>
      <w:r>
        <w:rPr>
          <w:rFonts w:ascii="David" w:hAnsi="David" w:hint="cs"/>
          <w:rtl/>
        </w:rPr>
        <w:t>;</w:t>
      </w:r>
    </w:p>
    <w:p w:rsidR="00272CAC" w:rsidRPr="00C874BD" w:rsidRDefault="00BB20EF" w:rsidP="00272CAC">
      <w:pPr>
        <w:spacing w:line="360" w:lineRule="auto"/>
        <w:ind w:left="720"/>
        <w:contextualSpacing/>
        <w:jc w:val="both"/>
        <w:rPr>
          <w:rFonts w:ascii="Arial" w:hAnsi="Arial" w:cs="Arial"/>
          <w:sz w:val="21"/>
          <w:szCs w:val="21"/>
          <w:shd w:val="clear" w:color="auto" w:fill="FFFFFF"/>
          <w:rtl/>
        </w:rPr>
      </w:pPr>
      <w:hyperlink r:id="rId19" w:history="1">
        <w:r w:rsidR="00272CAC" w:rsidRPr="00C874BD">
          <w:rPr>
            <w:rStyle w:val="Hyperlink"/>
            <w:rFonts w:ascii="David" w:hAnsi="David"/>
            <w:color w:val="auto"/>
            <w:u w:val="none"/>
            <w:rtl/>
          </w:rPr>
          <w:t>ע"פ 4533/07</w:t>
        </w:r>
      </w:hyperlink>
      <w:r w:rsidR="00272CAC" w:rsidRPr="00C874BD">
        <w:rPr>
          <w:rFonts w:ascii="David" w:hAnsi="David"/>
          <w:rtl/>
        </w:rPr>
        <w:t xml:space="preserve"> אזרי נ' מדינת ישראל</w:t>
      </w:r>
      <w:r w:rsidR="00272CAC" w:rsidRPr="00C874BD">
        <w:rPr>
          <w:rFonts w:ascii="David" w:hAnsi="David" w:hint="cs"/>
          <w:rtl/>
        </w:rPr>
        <w:t>;</w:t>
      </w:r>
      <w:r w:rsidR="00272CAC" w:rsidRPr="00C874BD">
        <w:rPr>
          <w:rFonts w:ascii="David" w:hAnsi="David"/>
          <w:rtl/>
        </w:rPr>
        <w:t xml:space="preserve"> </w:t>
      </w:r>
      <w:hyperlink r:id="rId20" w:history="1">
        <w:r w:rsidR="00272CAC" w:rsidRPr="00C874BD">
          <w:rPr>
            <w:rStyle w:val="Hyperlink"/>
            <w:rFonts w:ascii="David" w:hAnsi="David"/>
            <w:color w:val="auto"/>
            <w:u w:val="none"/>
            <w:rtl/>
          </w:rPr>
          <w:t>ע"פ 9090/07</w:t>
        </w:r>
      </w:hyperlink>
      <w:r w:rsidR="00272CAC" w:rsidRPr="00C874BD">
        <w:rPr>
          <w:rFonts w:ascii="David" w:hAnsi="David"/>
          <w:rtl/>
        </w:rPr>
        <w:t xml:space="preserve"> יוסי חזן נ' מדינת ישראל</w:t>
      </w:r>
      <w:r w:rsidR="00272CAC" w:rsidRPr="00C874BD">
        <w:rPr>
          <w:rFonts w:ascii="David" w:hAnsi="David" w:hint="cs"/>
          <w:rtl/>
        </w:rPr>
        <w:t>)</w:t>
      </w:r>
      <w:r w:rsidR="00272CAC" w:rsidRPr="00C874BD">
        <w:rPr>
          <w:rFonts w:ascii="Arial" w:hAnsi="Arial" w:cs="Arial" w:hint="cs"/>
          <w:sz w:val="21"/>
          <w:szCs w:val="21"/>
          <w:shd w:val="clear" w:color="auto" w:fill="FFFFFF"/>
          <w:rtl/>
        </w:rPr>
        <w:t>.</w:t>
      </w:r>
      <w:r w:rsidR="00272CAC" w:rsidRPr="00C874BD">
        <w:rPr>
          <w:rFonts w:ascii="Arial" w:hAnsi="Arial" w:cs="Arial"/>
          <w:sz w:val="21"/>
          <w:szCs w:val="21"/>
          <w:shd w:val="clear" w:color="auto" w:fill="FFFFFF"/>
          <w:rtl/>
        </w:rPr>
        <w:t xml:space="preserve"> </w:t>
      </w:r>
    </w:p>
    <w:p w:rsidR="00272CAC" w:rsidRPr="003A764B" w:rsidRDefault="00272CAC" w:rsidP="00272CAC">
      <w:pPr>
        <w:spacing w:line="360" w:lineRule="auto"/>
        <w:ind w:left="720"/>
        <w:contextualSpacing/>
        <w:jc w:val="both"/>
        <w:rPr>
          <w:rFonts w:ascii="David" w:hAnsi="David"/>
          <w:b/>
          <w:bCs/>
        </w:rPr>
      </w:pPr>
      <w:r>
        <w:rPr>
          <w:rFonts w:ascii="David" w:hAnsi="David" w:hint="cs"/>
          <w:rtl/>
        </w:rPr>
        <w:t>עוד נקבע בהקשר זה ב</w:t>
      </w:r>
      <w:r w:rsidRPr="003A764B">
        <w:rPr>
          <w:rFonts w:ascii="David" w:hAnsi="David"/>
          <w:rtl/>
        </w:rPr>
        <w:t xml:space="preserve">ע"פ 465/06 </w:t>
      </w:r>
      <w:r w:rsidRPr="003A764B">
        <w:rPr>
          <w:rFonts w:ascii="David" w:hAnsi="David"/>
          <w:b/>
          <w:bCs/>
          <w:rtl/>
        </w:rPr>
        <w:t>דוד אביבי נ' מדינת ישראל</w:t>
      </w:r>
      <w:r w:rsidRPr="003A764B">
        <w:rPr>
          <w:rFonts w:ascii="David" w:hAnsi="David"/>
          <w:rtl/>
        </w:rPr>
        <w:t xml:space="preserve"> (06.02.2008)</w:t>
      </w:r>
      <w:r>
        <w:rPr>
          <w:rFonts w:ascii="David" w:hAnsi="David" w:hint="cs"/>
          <w:rtl/>
        </w:rPr>
        <w:t xml:space="preserve">, כי על נאשם הרוצה לטעון לאי תחולת סעיף 184 להראות כי טענותיו מבוססות ומפורטות, ועליו </w:t>
      </w:r>
      <w:r w:rsidRPr="003A764B">
        <w:rPr>
          <w:rFonts w:ascii="David" w:hAnsi="David" w:hint="cs"/>
          <w:b/>
          <w:bCs/>
          <w:rtl/>
        </w:rPr>
        <w:t xml:space="preserve">"להבהיר </w:t>
      </w:r>
      <w:r w:rsidRPr="003A764B">
        <w:rPr>
          <w:rFonts w:ascii="David" w:hAnsi="David"/>
          <w:b/>
          <w:bCs/>
          <w:rtl/>
        </w:rPr>
        <w:t>באיזה קו הגנה חלופי היה נוקט ובאילו טיעוני הגנה – שונים מאלה שהעלה – היה עושה שימוש (עניין אזרי הנ"ל, פסקה 12 לפסק דיני; פסקה 43 ואילך לפסק-דינה של השופטת פרוקצ'יה בע"פ 5102/03 מדינת ישראל נ' קליין ([פורסם בנבו], 4.9.07). להלן: עניין קליין; ע"פ 63/79 עוזר נ' מדינת ישראל, פ"ד לג(3) 606, 615 (1979))."</w:t>
      </w:r>
    </w:p>
    <w:p w:rsidR="00272CAC" w:rsidRDefault="00272CAC" w:rsidP="00272CAC">
      <w:pPr>
        <w:spacing w:line="360" w:lineRule="auto"/>
        <w:ind w:left="720"/>
        <w:jc w:val="both"/>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12.</w:t>
      </w:r>
      <w:r>
        <w:rPr>
          <w:rFonts w:ascii="David" w:hAnsi="David" w:hint="cs"/>
          <w:rtl/>
        </w:rPr>
        <w:tab/>
        <w:t xml:space="preserve">אלא שבענייננו המיקוד הוא שונה ומעלה שאלות מעט אחרות, שכן מצד אחד אין מדובר </w:t>
      </w:r>
      <w:r w:rsidRPr="00FB5535">
        <w:rPr>
          <w:rFonts w:ascii="David" w:hAnsi="David" w:hint="cs"/>
          <w:b/>
          <w:bCs/>
          <w:u w:val="single"/>
          <w:rtl/>
        </w:rPr>
        <w:t>בעבירה שונה</w:t>
      </w:r>
      <w:r>
        <w:rPr>
          <w:rFonts w:ascii="David" w:hAnsi="David" w:hint="cs"/>
          <w:rtl/>
        </w:rPr>
        <w:t xml:space="preserve"> שעלתה מתוך העובדות שהוכחו ואשר </w:t>
      </w:r>
      <w:r w:rsidRPr="005E7F0B">
        <w:rPr>
          <w:rFonts w:ascii="David" w:hAnsi="David" w:hint="cs"/>
          <w:b/>
          <w:bCs/>
          <w:u w:val="single"/>
          <w:rtl/>
        </w:rPr>
        <w:t>לא נטענו</w:t>
      </w:r>
      <w:r>
        <w:rPr>
          <w:rFonts w:ascii="David" w:hAnsi="David" w:hint="cs"/>
          <w:rtl/>
        </w:rPr>
        <w:t xml:space="preserve"> בכתב האישום (כאמור בסעיף 184), אלא </w:t>
      </w:r>
      <w:r w:rsidRPr="00EE579A">
        <w:rPr>
          <w:rFonts w:ascii="David" w:hAnsi="David" w:hint="cs"/>
          <w:b/>
          <w:bCs/>
          <w:u w:val="single"/>
          <w:rtl/>
        </w:rPr>
        <w:t xml:space="preserve">בעובדות </w:t>
      </w:r>
      <w:r w:rsidRPr="00A007DA">
        <w:rPr>
          <w:rFonts w:ascii="David" w:hAnsi="David" w:hint="cs"/>
          <w:b/>
          <w:bCs/>
          <w:u w:val="single"/>
          <w:rtl/>
        </w:rPr>
        <w:t xml:space="preserve">השונות </w:t>
      </w:r>
      <w:r>
        <w:rPr>
          <w:rFonts w:ascii="David" w:hAnsi="David" w:hint="cs"/>
          <w:rtl/>
        </w:rPr>
        <w:t xml:space="preserve">מאלו שנטענו מלכתחילה ע"י המאשימה בכתב האישום ושעמן היה הנאשם אמור להתמודד. </w:t>
      </w:r>
    </w:p>
    <w:p w:rsidR="00272CAC" w:rsidRDefault="00272CAC" w:rsidP="00272CAC">
      <w:pPr>
        <w:spacing w:line="360" w:lineRule="auto"/>
        <w:ind w:left="720"/>
        <w:contextualSpacing/>
        <w:jc w:val="both"/>
        <w:rPr>
          <w:rFonts w:ascii="David" w:hAnsi="David"/>
          <w:rtl/>
        </w:rPr>
      </w:pPr>
      <w:r>
        <w:rPr>
          <w:rFonts w:ascii="David" w:hAnsi="David" w:hint="cs"/>
          <w:rtl/>
        </w:rPr>
        <w:t xml:space="preserve">מצד שני, מי שהעלה את האפשרות ששחרור תפס המחסנית אינו מאפשר לגרוף כדור לבית הבליעה ולבצע ירי היתה דווקא ההגנה באמצעות המומחה הוניג, כך שהנאשם הוא שהביא את העד המומחה והוא זה שמבקש להסתמך על חוות דעתו בנושא השימוש בנשק וזהו חלק מקו ההגנה שלו, באופן שברור כי לא התקפחה הגנתו של הנאשם.  </w:t>
      </w:r>
    </w:p>
    <w:p w:rsidR="00272CAC" w:rsidRPr="00193CCC" w:rsidRDefault="00272CAC" w:rsidP="00272CAC">
      <w:pPr>
        <w:spacing w:line="360" w:lineRule="auto"/>
        <w:ind w:left="720"/>
        <w:contextualSpacing/>
        <w:jc w:val="both"/>
        <w:rPr>
          <w:rFonts w:ascii="David" w:hAnsi="David"/>
          <w:rtl/>
        </w:rPr>
      </w:pPr>
      <w:r>
        <w:rPr>
          <w:rFonts w:ascii="David" w:hAnsi="David" w:hint="cs"/>
          <w:rtl/>
        </w:rPr>
        <w:t xml:space="preserve">בנסיבות אלו ניתן לבחון גם את טענות המאשימה בסיכומיה לפיהן ייתכן שלמרות הלחיצה על תפס המחסנית היא לא השתחררה או לא הונמכה (או כמוצע לעיל שהלחיצה על התפס היתה בד בבד עם הדריכה שקדמה לה במספר שניות), כאשר הבחינה תעשה מהנחת המוצא שהנאשם עשה פעולה אקטיבית בלחיצתו על תפס המחסנית, והאם יש לפעולה זו השפעה על היסוד הנפשי אותו יש לייחס לו. </w:t>
      </w:r>
    </w:p>
    <w:p w:rsidR="00272CAC" w:rsidRPr="00193CCC" w:rsidRDefault="00272CAC" w:rsidP="00272CAC">
      <w:pPr>
        <w:spacing w:line="360" w:lineRule="auto"/>
        <w:ind w:left="720" w:hanging="720"/>
        <w:contextualSpacing/>
        <w:jc w:val="both"/>
        <w:rPr>
          <w:rFonts w:ascii="David" w:hAnsi="David"/>
          <w:b/>
          <w:bCs/>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13.</w:t>
      </w:r>
      <w:r>
        <w:rPr>
          <w:rFonts w:ascii="David" w:hAnsi="David" w:hint="cs"/>
          <w:rtl/>
        </w:rPr>
        <w:tab/>
        <w:t xml:space="preserve">בהקשר זה אציין תחילה, כי לצד ההסתכלות הצרה על רגע הירי עצמו ועל הפעולות שביצע הנאשם, הרחיבה המאשימה את הפריזמה והשקיפה על כל התנהלותו ביחידה גם לפני וגם לאחר הירי, במטרה להסיק מכך על היסוד הנפשי של האדישות אשר אפיינה את מעשיו. כך הופנינו לעדויות חבריו ליחידה על המשחקים בנשק שהיו עניין שבשגרה עבורו, על התנהלותו האלימה והכוחנית כלפיהם, על חוסר הזהירות שליווה תדיר את מעשיו ואזהרות רבות </w:t>
      </w:r>
      <w:r>
        <w:rPr>
          <w:rFonts w:ascii="David" w:hAnsi="David" w:hint="cs"/>
          <w:rtl/>
        </w:rPr>
        <w:lastRenderedPageBreak/>
        <w:t xml:space="preserve">שקיבל מחבריו על כך ואליהן לא שעה, על התנהגותו קרת הרוח וחסרת האכפתיות כלפי חברו שנפגע מהירי, ועוד. אולם ככל שבוחנים את התנהגות הנאשם - </w:t>
      </w:r>
      <w:r w:rsidRPr="00B13393">
        <w:rPr>
          <w:rFonts w:ascii="David" w:hAnsi="David" w:hint="cs"/>
          <w:rtl/>
        </w:rPr>
        <w:t>שלא</w:t>
      </w:r>
      <w:r>
        <w:rPr>
          <w:rFonts w:ascii="David" w:hAnsi="David" w:hint="cs"/>
          <w:rtl/>
        </w:rPr>
        <w:t xml:space="preserve"> ניתן להסכים עמה או אף להבינה - הרי שאף לגישת המאשימה הנאשם פעל באופן אקטיבי, וביצע מעשה בניסיון להבטיח שלא ייגרף כדור אל בית הבליעה, ורק לאחר מכן דרך את הנשק וירה, ויש להידרש למשמעותה של פעולה זו.</w:t>
      </w:r>
    </w:p>
    <w:p w:rsidR="00272CAC" w:rsidRDefault="00272CAC" w:rsidP="00272CAC">
      <w:pPr>
        <w:spacing w:line="360" w:lineRule="auto"/>
        <w:ind w:left="720" w:hanging="720"/>
        <w:contextualSpacing/>
        <w:jc w:val="both"/>
        <w:rPr>
          <w:rFonts w:ascii="David" w:hAnsi="David"/>
          <w:rtl/>
        </w:rPr>
      </w:pPr>
    </w:p>
    <w:p w:rsidR="00272CAC" w:rsidRDefault="00272CAC" w:rsidP="00272CAC">
      <w:pPr>
        <w:spacing w:line="360" w:lineRule="auto"/>
        <w:ind w:left="720" w:hanging="720"/>
        <w:contextualSpacing/>
        <w:jc w:val="both"/>
        <w:rPr>
          <w:rFonts w:ascii="David" w:hAnsi="David"/>
          <w:rtl/>
        </w:rPr>
      </w:pPr>
      <w:r>
        <w:rPr>
          <w:rFonts w:ascii="David" w:hAnsi="David" w:hint="cs"/>
          <w:rtl/>
        </w:rPr>
        <w:t>14.</w:t>
      </w:r>
      <w:r>
        <w:rPr>
          <w:rFonts w:ascii="David" w:hAnsi="David" w:hint="cs"/>
          <w:rtl/>
        </w:rPr>
        <w:tab/>
        <w:t xml:space="preserve">השופט ליפשיץ הרחיב בחוות דעתו על ההבחנה בין אדישות לקלות הדעת, והפנה לפסיקה ולמאמרי מלומדים, ואף אני סבורה כי מסקנתו לגבי היות הנאשם קל דעת </w:t>
      </w:r>
      <w:r>
        <w:rPr>
          <w:rFonts w:ascii="David" w:hAnsi="David"/>
          <w:rtl/>
        </w:rPr>
        <w:t>–</w:t>
      </w:r>
      <w:r>
        <w:rPr>
          <w:rFonts w:ascii="David" w:hAnsi="David" w:hint="cs"/>
          <w:rtl/>
        </w:rPr>
        <w:t xml:space="preserve"> כך שנטל סיכון בלתי סביר מתוך תקווה להצליח למנעו </w:t>
      </w:r>
      <w:r>
        <w:rPr>
          <w:rFonts w:ascii="David" w:hAnsi="David"/>
          <w:rtl/>
        </w:rPr>
        <w:t>–</w:t>
      </w:r>
      <w:r>
        <w:rPr>
          <w:rFonts w:ascii="David" w:hAnsi="David" w:hint="cs"/>
          <w:rtl/>
        </w:rPr>
        <w:t xml:space="preserve"> היא המסקנה העולה מהעובדות שהוכחו ואוסיף אך בקצרה;  </w:t>
      </w:r>
    </w:p>
    <w:p w:rsidR="00272CAC" w:rsidRDefault="00272CAC" w:rsidP="00272CAC">
      <w:pPr>
        <w:spacing w:line="360" w:lineRule="auto"/>
        <w:ind w:left="720"/>
        <w:jc w:val="both"/>
        <w:rPr>
          <w:rFonts w:ascii="David" w:hAnsi="David"/>
          <w:rtl/>
        </w:rPr>
      </w:pPr>
      <w:r>
        <w:rPr>
          <w:rFonts w:ascii="David" w:hAnsi="David" w:hint="cs"/>
          <w:rtl/>
        </w:rPr>
        <w:t>הן בעבירת המתה בקלות דעת והן בעבירת המתה באדישות נדרשת מ</w:t>
      </w:r>
      <w:r w:rsidRPr="004A7D92">
        <w:rPr>
          <w:rFonts w:ascii="David" w:hAnsi="David"/>
          <w:rtl/>
        </w:rPr>
        <w:t xml:space="preserve">ודעות לטיב </w:t>
      </w:r>
      <w:r>
        <w:rPr>
          <w:rFonts w:ascii="David" w:hAnsi="David" w:hint="cs"/>
          <w:rtl/>
        </w:rPr>
        <w:t>ה</w:t>
      </w:r>
      <w:r w:rsidRPr="004A7D92">
        <w:rPr>
          <w:rFonts w:ascii="David" w:hAnsi="David"/>
          <w:rtl/>
        </w:rPr>
        <w:t>מעש</w:t>
      </w:r>
      <w:r>
        <w:rPr>
          <w:rFonts w:ascii="David" w:hAnsi="David" w:hint="cs"/>
          <w:rtl/>
        </w:rPr>
        <w:t>ה</w:t>
      </w:r>
      <w:r w:rsidRPr="004A7D92">
        <w:rPr>
          <w:rFonts w:ascii="David" w:hAnsi="David"/>
          <w:rtl/>
        </w:rPr>
        <w:t>, לקיום הנסיבות ולאפשרות</w:t>
      </w:r>
      <w:r w:rsidRPr="004A7D92">
        <w:rPr>
          <w:rFonts w:ascii="David" w:hAnsi="David" w:hint="cs"/>
          <w:rtl/>
        </w:rPr>
        <w:t xml:space="preserve"> </w:t>
      </w:r>
      <w:r w:rsidRPr="004A7D92">
        <w:rPr>
          <w:rFonts w:ascii="David" w:hAnsi="David"/>
          <w:rtl/>
        </w:rPr>
        <w:t>גרימת התוצאה.</w:t>
      </w:r>
      <w:r>
        <w:rPr>
          <w:rFonts w:ascii="David" w:hAnsi="David" w:hint="cs"/>
          <w:rtl/>
        </w:rPr>
        <w:t xml:space="preserve"> </w:t>
      </w:r>
      <w:r w:rsidRPr="00654B59">
        <w:rPr>
          <w:rFonts w:ascii="David" w:hAnsi="David"/>
          <w:rtl/>
        </w:rPr>
        <w:t>הן האדיש</w:t>
      </w:r>
      <w:r>
        <w:rPr>
          <w:rFonts w:ascii="David" w:hAnsi="David"/>
          <w:rtl/>
        </w:rPr>
        <w:t xml:space="preserve"> והן קל </w:t>
      </w:r>
      <w:r>
        <w:rPr>
          <w:rFonts w:ascii="David" w:hAnsi="David" w:hint="cs"/>
          <w:rtl/>
        </w:rPr>
        <w:t>ה</w:t>
      </w:r>
      <w:r>
        <w:rPr>
          <w:rFonts w:ascii="David" w:hAnsi="David"/>
          <w:rtl/>
        </w:rPr>
        <w:t xml:space="preserve">דעת </w:t>
      </w:r>
      <w:r w:rsidRPr="00654B59">
        <w:rPr>
          <w:rFonts w:ascii="David" w:hAnsi="David"/>
          <w:rtl/>
        </w:rPr>
        <w:t>צופים את האפשרות שהתנהגותם עלולה לגרום למותו של אד</w:t>
      </w:r>
      <w:r>
        <w:rPr>
          <w:rFonts w:ascii="David" w:hAnsi="David"/>
          <w:rtl/>
        </w:rPr>
        <w:t>ם</w:t>
      </w:r>
      <w:r>
        <w:rPr>
          <w:rFonts w:ascii="David" w:hAnsi="David" w:hint="cs"/>
          <w:rtl/>
        </w:rPr>
        <w:t xml:space="preserve">, כשההבדל ביניהם הוא ביסוד החפצי כך שזה </w:t>
      </w:r>
      <w:r w:rsidRPr="00E33164">
        <w:rPr>
          <w:rFonts w:ascii="David" w:hAnsi="David"/>
          <w:rtl/>
        </w:rPr>
        <w:t>הפועל מתוך אדישות, הגם שאינו רוצה במותו של הקורבן, הוא שווה נפש לאפ</w:t>
      </w:r>
      <w:r>
        <w:rPr>
          <w:rFonts w:ascii="David" w:hAnsi="David" w:hint="cs"/>
          <w:rtl/>
        </w:rPr>
        <w:t>ש</w:t>
      </w:r>
      <w:r w:rsidRPr="00E33164">
        <w:rPr>
          <w:rFonts w:ascii="David" w:hAnsi="David"/>
          <w:rtl/>
        </w:rPr>
        <w:t xml:space="preserve">רות </w:t>
      </w:r>
      <w:r>
        <w:rPr>
          <w:rFonts w:ascii="David" w:hAnsi="David" w:hint="cs"/>
          <w:rtl/>
        </w:rPr>
        <w:t>ש</w:t>
      </w:r>
      <w:r w:rsidRPr="00E33164">
        <w:rPr>
          <w:rFonts w:ascii="David" w:hAnsi="David"/>
          <w:rtl/>
        </w:rPr>
        <w:t>התנהגותו תגרום למ</w:t>
      </w:r>
      <w:r>
        <w:rPr>
          <w:rFonts w:ascii="David" w:hAnsi="David" w:hint="cs"/>
          <w:rtl/>
        </w:rPr>
        <w:t>ו</w:t>
      </w:r>
      <w:r w:rsidRPr="00E33164">
        <w:rPr>
          <w:rFonts w:ascii="David" w:hAnsi="David"/>
          <w:rtl/>
        </w:rPr>
        <w:t>ות</w:t>
      </w:r>
      <w:r>
        <w:rPr>
          <w:rFonts w:ascii="David" w:hAnsi="David" w:hint="cs"/>
          <w:rtl/>
        </w:rPr>
        <w:t>,</w:t>
      </w:r>
      <w:r w:rsidRPr="00E33164">
        <w:rPr>
          <w:rFonts w:ascii="David" w:hAnsi="David"/>
          <w:rtl/>
        </w:rPr>
        <w:t xml:space="preserve"> </w:t>
      </w:r>
      <w:r>
        <w:rPr>
          <w:rFonts w:ascii="David" w:hAnsi="David" w:hint="cs"/>
          <w:rtl/>
        </w:rPr>
        <w:t>ו</w:t>
      </w:r>
      <w:r w:rsidRPr="00E33164">
        <w:rPr>
          <w:rFonts w:ascii="David" w:hAnsi="David"/>
          <w:rtl/>
        </w:rPr>
        <w:t>לעומת</w:t>
      </w:r>
      <w:r>
        <w:rPr>
          <w:rFonts w:ascii="David" w:hAnsi="David" w:hint="cs"/>
          <w:rtl/>
        </w:rPr>
        <w:t>ו קל הדעת ל</w:t>
      </w:r>
      <w:r w:rsidRPr="00E33164">
        <w:rPr>
          <w:rFonts w:ascii="David" w:hAnsi="David"/>
          <w:rtl/>
        </w:rPr>
        <w:t xml:space="preserve">וקח במודע סיכון בלתי סביר, אך הוא מקווה ואף רוצה </w:t>
      </w:r>
      <w:r>
        <w:rPr>
          <w:rFonts w:ascii="David" w:hAnsi="David"/>
          <w:rtl/>
        </w:rPr>
        <w:t xml:space="preserve">בכך </w:t>
      </w:r>
      <w:r>
        <w:rPr>
          <w:rFonts w:ascii="David" w:hAnsi="David" w:hint="cs"/>
          <w:rtl/>
        </w:rPr>
        <w:t>ש</w:t>
      </w:r>
      <w:r>
        <w:rPr>
          <w:rFonts w:ascii="David" w:hAnsi="David"/>
          <w:rtl/>
        </w:rPr>
        <w:t>התוצאה הקטלנית לא תתרחש</w:t>
      </w:r>
      <w:r>
        <w:rPr>
          <w:rFonts w:ascii="David" w:hAnsi="David" w:hint="cs"/>
          <w:rtl/>
        </w:rPr>
        <w:t>.</w:t>
      </w:r>
    </w:p>
    <w:p w:rsidR="00272CAC" w:rsidRDefault="00272CAC" w:rsidP="00272CAC">
      <w:pPr>
        <w:spacing w:line="360" w:lineRule="auto"/>
        <w:ind w:left="720"/>
        <w:contextualSpacing/>
        <w:jc w:val="both"/>
        <w:rPr>
          <w:rFonts w:ascii="David" w:hAnsi="David"/>
          <w:rtl/>
        </w:rPr>
      </w:pPr>
      <w:r>
        <w:rPr>
          <w:rFonts w:ascii="David" w:hAnsi="David" w:hint="cs"/>
          <w:rtl/>
        </w:rPr>
        <w:t xml:space="preserve">פעמים רבות נקבע בפסיקה שנוכח הסיכון הקטלני הטמון בנשק, רואים מי שעשה בו שימוש כמודע לאפשרות גרימת התוצאה הקטלנית. רק לאחרונה חזר על כך </w:t>
      </w:r>
      <w:r w:rsidRPr="004A7D92">
        <w:rPr>
          <w:rFonts w:ascii="David" w:hAnsi="David" w:hint="cs"/>
          <w:rtl/>
        </w:rPr>
        <w:t>בית המשפט העליון ב</w:t>
      </w:r>
      <w:r w:rsidRPr="004A7D92">
        <w:rPr>
          <w:rFonts w:ascii="David" w:hAnsi="David"/>
          <w:rtl/>
        </w:rPr>
        <w:t xml:space="preserve">רע"פ 1510/23 </w:t>
      </w:r>
      <w:r w:rsidRPr="00C335BB">
        <w:rPr>
          <w:rFonts w:ascii="David" w:hAnsi="David"/>
          <w:b/>
          <w:bCs/>
          <w:rtl/>
        </w:rPr>
        <w:t>מירן מזרחי נ' בית הדין הצבאי לערעורים</w:t>
      </w:r>
      <w:r>
        <w:rPr>
          <w:rFonts w:ascii="David" w:hAnsi="David" w:hint="cs"/>
          <w:rtl/>
        </w:rPr>
        <w:t xml:space="preserve"> (20.4.23): </w:t>
      </w:r>
    </w:p>
    <w:p w:rsidR="00272CAC" w:rsidRDefault="00272CAC" w:rsidP="00272CAC">
      <w:pPr>
        <w:spacing w:line="360" w:lineRule="auto"/>
        <w:ind w:left="720"/>
        <w:contextualSpacing/>
        <w:jc w:val="both"/>
        <w:rPr>
          <w:rFonts w:ascii="David" w:hAnsi="David"/>
          <w:b/>
          <w:bCs/>
          <w:rtl/>
        </w:rPr>
      </w:pPr>
      <w:r w:rsidRPr="004A7D92">
        <w:rPr>
          <w:rFonts w:ascii="David" w:hAnsi="David"/>
          <w:b/>
          <w:bCs/>
          <w:rtl/>
        </w:rPr>
        <w:t>"בהלכת מירו, נדונה בין היתר, שאלת המודעות הנדרשת לעבירת ההריגה, בהקשר של משחק בכלי נשק:</w:t>
      </w:r>
      <w:r>
        <w:rPr>
          <w:rFonts w:ascii="David" w:hAnsi="David" w:hint="cs"/>
          <w:b/>
          <w:bCs/>
          <w:rtl/>
        </w:rPr>
        <w:t xml:space="preserve"> </w:t>
      </w:r>
    </w:p>
    <w:p w:rsidR="00272CAC" w:rsidRPr="00C335BB" w:rsidRDefault="00272CAC" w:rsidP="00272CAC">
      <w:pPr>
        <w:spacing w:line="360" w:lineRule="auto"/>
        <w:ind w:left="720"/>
        <w:contextualSpacing/>
        <w:jc w:val="both"/>
        <w:rPr>
          <w:rFonts w:ascii="David" w:hAnsi="David"/>
          <w:rtl/>
        </w:rPr>
      </w:pPr>
      <w:r w:rsidRPr="004A7D92">
        <w:rPr>
          <w:rFonts w:ascii="David" w:hAnsi="David"/>
          <w:b/>
          <w:bCs/>
          <w:rtl/>
        </w:rPr>
        <w:t xml:space="preserve">"השאלה היא למה צריך הנאשם להיות מודע כאשר אנחנו אומרים שצריכה להיות מודעות לסכנה הקונקרטית בנסיבותיו של כל מקרה ומקרה. הסנגור סבור שבנסיבות המקרה שלנו הנאשם צריך לדעת שיש מחסנית באקדח. נראה לי שבזאת טעותו. גם כשאנחנו אומרים שהוא צריך להיות מודע 'לכל רכיבי היסוד העובדתי שבעבירה' אין זאת אומרת שהוא צריך לדעת שיש מחסנית באקדח. </w:t>
      </w:r>
      <w:r w:rsidRPr="00C335BB">
        <w:rPr>
          <w:rFonts w:ascii="David" w:hAnsi="David"/>
          <w:b/>
          <w:bCs/>
          <w:u w:val="single"/>
          <w:rtl/>
        </w:rPr>
        <w:t>די בכך שהוא יודע שהאקדח כלי מסוכן, שיש כללי זהירות שצריך לנהוג לפיהם כדי לנטרל סכנה זו ושהוא לא נקט כללים אלו אף-על-פי שהוא יודע שאי-נקיטת אמצעי זהירות יכולה להיות קטלנית"</w:t>
      </w:r>
      <w:r w:rsidRPr="004A7D92">
        <w:rPr>
          <w:rFonts w:ascii="David" w:hAnsi="David"/>
          <w:b/>
          <w:bCs/>
          <w:rtl/>
        </w:rPr>
        <w:t xml:space="preserve"> שם, בעמ' 155-154)</w:t>
      </w:r>
      <w:r>
        <w:rPr>
          <w:rFonts w:ascii="David" w:hAnsi="David" w:hint="cs"/>
          <w:b/>
          <w:bCs/>
          <w:rtl/>
        </w:rPr>
        <w:t>...</w:t>
      </w:r>
      <w:r w:rsidRPr="004A7D92">
        <w:rPr>
          <w:rFonts w:ascii="David" w:hAnsi="David"/>
          <w:b/>
          <w:bCs/>
          <w:rtl/>
        </w:rPr>
        <w:t>"</w:t>
      </w:r>
      <w:r>
        <w:rPr>
          <w:rFonts w:ascii="David" w:hAnsi="David" w:hint="cs"/>
          <w:b/>
          <w:bCs/>
          <w:rtl/>
        </w:rPr>
        <w:t xml:space="preserve"> </w:t>
      </w:r>
      <w:r>
        <w:rPr>
          <w:rFonts w:ascii="David" w:hAnsi="David" w:hint="cs"/>
          <w:rtl/>
        </w:rPr>
        <w:t>(פיסקה 11 לפסק הדין).</w:t>
      </w:r>
    </w:p>
    <w:p w:rsidR="00272CAC" w:rsidRDefault="00272CAC" w:rsidP="00272CAC">
      <w:pPr>
        <w:spacing w:line="360" w:lineRule="auto"/>
        <w:ind w:firstLine="720"/>
        <w:contextualSpacing/>
        <w:jc w:val="both"/>
        <w:rPr>
          <w:rFonts w:ascii="David" w:hAnsi="David"/>
          <w:rtl/>
        </w:rPr>
      </w:pPr>
    </w:p>
    <w:p w:rsidR="00272CAC" w:rsidRPr="004A7D92" w:rsidRDefault="00272CAC" w:rsidP="00272CAC">
      <w:pPr>
        <w:spacing w:line="360" w:lineRule="auto"/>
        <w:ind w:left="720"/>
        <w:jc w:val="both"/>
        <w:rPr>
          <w:rFonts w:ascii="David" w:hAnsi="David"/>
          <w:rtl/>
        </w:rPr>
      </w:pPr>
      <w:r>
        <w:rPr>
          <w:rFonts w:ascii="David" w:hAnsi="David" w:hint="cs"/>
          <w:rtl/>
        </w:rPr>
        <w:t xml:space="preserve">אשר לרכיב החפצי המבחין בין האדיש שווה הנפש לתוצאה לבין קל הדעת המודע למעשיו אך </w:t>
      </w:r>
      <w:r w:rsidRPr="004A7D92">
        <w:rPr>
          <w:rFonts w:ascii="David" w:hAnsi="David"/>
          <w:rtl/>
        </w:rPr>
        <w:t xml:space="preserve">אינו </w:t>
      </w:r>
      <w:r>
        <w:rPr>
          <w:rFonts w:ascii="David" w:hAnsi="David" w:hint="cs"/>
          <w:rtl/>
        </w:rPr>
        <w:t>חפץ בתוצאה</w:t>
      </w:r>
      <w:r w:rsidRPr="004A7D92">
        <w:rPr>
          <w:rFonts w:ascii="David" w:hAnsi="David"/>
          <w:rtl/>
        </w:rPr>
        <w:t xml:space="preserve"> ואף </w:t>
      </w:r>
      <w:r>
        <w:rPr>
          <w:rFonts w:ascii="David" w:hAnsi="David" w:hint="cs"/>
          <w:rtl/>
        </w:rPr>
        <w:t>פעל</w:t>
      </w:r>
      <w:r w:rsidRPr="004A7D92">
        <w:rPr>
          <w:rFonts w:ascii="David" w:hAnsi="David"/>
          <w:rtl/>
        </w:rPr>
        <w:t xml:space="preserve"> כדי למנוע את התממשותה, מתוך תקווה שיש לה יסוד </w:t>
      </w:r>
      <w:r w:rsidRPr="004A7D92">
        <w:rPr>
          <w:rFonts w:ascii="David" w:hAnsi="David"/>
          <w:rtl/>
        </w:rPr>
        <w:lastRenderedPageBreak/>
        <w:t>אובייקטיבי</w:t>
      </w:r>
      <w:r>
        <w:rPr>
          <w:rFonts w:ascii="David" w:hAnsi="David" w:hint="cs"/>
          <w:rtl/>
        </w:rPr>
        <w:t xml:space="preserve">, עמד </w:t>
      </w:r>
      <w:r w:rsidRPr="004A7D92">
        <w:rPr>
          <w:rFonts w:ascii="David" w:hAnsi="David"/>
          <w:rtl/>
        </w:rPr>
        <w:t>פרופ'</w:t>
      </w:r>
      <w:r w:rsidRPr="004A7D92">
        <w:rPr>
          <w:rFonts w:ascii="David" w:hAnsi="David" w:hint="cs"/>
          <w:rtl/>
        </w:rPr>
        <w:t xml:space="preserve"> פלר במאמרו</w:t>
      </w:r>
      <w:r>
        <w:rPr>
          <w:rFonts w:ascii="David" w:hAnsi="David" w:hint="cs"/>
          <w:rtl/>
        </w:rPr>
        <w:t xml:space="preserve"> </w:t>
      </w:r>
      <w:r w:rsidRPr="004A7D92">
        <w:rPr>
          <w:rFonts w:ascii="David" w:hAnsi="David" w:hint="cs"/>
          <w:rtl/>
        </w:rPr>
        <w:t>"'משחק מסוכן' כאירוע עברייני</w:t>
      </w:r>
      <w:r w:rsidRPr="004A7D92">
        <w:rPr>
          <w:rFonts w:ascii="David" w:hAnsi="David"/>
          <w:rtl/>
        </w:rPr>
        <w:t>– הערות למבנהו" משפטים כו 169, 184 (1995):</w:t>
      </w:r>
    </w:p>
    <w:p w:rsidR="00272CAC" w:rsidRPr="004A7D92" w:rsidRDefault="00272CAC" w:rsidP="00272CAC">
      <w:pPr>
        <w:spacing w:line="360" w:lineRule="auto"/>
        <w:ind w:left="720"/>
        <w:jc w:val="both"/>
        <w:rPr>
          <w:rFonts w:ascii="David" w:hAnsi="David"/>
          <w:rtl/>
        </w:rPr>
      </w:pPr>
      <w:r w:rsidRPr="004A7D92">
        <w:rPr>
          <w:rFonts w:ascii="David" w:hAnsi="David"/>
          <w:b/>
          <w:bCs/>
          <w:rtl/>
        </w:rPr>
        <w:t>"יחסו הנפשי של העושה היה נופל לגדר קלות הדעת רק אם תקוותו של המערער הייתה להצליח למנוע – הוא עצמו, בדרכיו ובכליו – את התרחשות התוצאה האסורה; כלומר, תקווה המעוגנת מבחינה עובדתית, במציאות, אם כי תוחלתו נכזבה; אך תקווה, גם אם קיננה</w:t>
      </w:r>
      <w:r w:rsidRPr="004A7D92">
        <w:rPr>
          <w:rFonts w:ascii="David" w:hAnsi="David" w:hint="cs"/>
          <w:rtl/>
        </w:rPr>
        <w:t xml:space="preserve"> </w:t>
      </w:r>
      <w:r w:rsidRPr="004A7D92">
        <w:rPr>
          <w:rFonts w:ascii="David" w:hAnsi="David"/>
          <w:b/>
          <w:bCs/>
          <w:rtl/>
        </w:rPr>
        <w:t>בליבו של המערער, אינה יכולה להיות בנויה על מקריות, מזלות או ניסים..." .</w:t>
      </w:r>
    </w:p>
    <w:p w:rsidR="00272CAC" w:rsidRDefault="00272CAC" w:rsidP="00272CAC">
      <w:pPr>
        <w:spacing w:line="360" w:lineRule="auto"/>
        <w:ind w:left="720"/>
        <w:jc w:val="both"/>
        <w:rPr>
          <w:rFonts w:ascii="David" w:hAnsi="David"/>
          <w:rtl/>
        </w:rPr>
      </w:pPr>
      <w:r>
        <w:rPr>
          <w:rFonts w:ascii="David" w:hAnsi="David" w:hint="cs"/>
          <w:rtl/>
        </w:rPr>
        <w:t xml:space="preserve">דברים דומים עלו במאמרה של פרופ' גור </w:t>
      </w:r>
      <w:r w:rsidRPr="007B5CF7">
        <w:rPr>
          <w:rFonts w:ascii="David" w:hAnsi="David" w:hint="cs"/>
          <w:b/>
          <w:bCs/>
          <w:rtl/>
        </w:rPr>
        <w:t>אריה "</w:t>
      </w:r>
      <w:r w:rsidRPr="007B5CF7">
        <w:rPr>
          <w:rFonts w:ascii="David" w:hAnsi="David"/>
          <w:b/>
          <w:bCs/>
          <w:rtl/>
        </w:rPr>
        <w:t>ההקפדה על ההבחנה בין קל דעת לבין אדיש בהקשר זה תחייב את בתי המשפט לתת את הדעת לסיבה שהניעה את הנאשם שלא להימנע מהמעשה אף שצפה כי הוא עלול לגרום למוות. קל הדעת לא נמנע מהמעשה משום שהוא קיווה שהתוצאה הקטלנית בסופו של דבר לא תתרחש ותקוותו זו הייתה מעוגנת במציאות, ואילו האדיש לא נמנע מהמעשה משום שלא היה אכפת לו אם התוצאה הקטלנית תתרחש"</w:t>
      </w:r>
      <w:r w:rsidRPr="007B5CF7">
        <w:rPr>
          <w:rFonts w:ascii="David" w:hAnsi="David" w:hint="cs"/>
          <w:b/>
          <w:bCs/>
          <w:rtl/>
        </w:rPr>
        <w:t xml:space="preserve"> </w:t>
      </w:r>
      <w:r w:rsidRPr="00D543C6">
        <w:rPr>
          <w:rFonts w:ascii="David" w:hAnsi="David"/>
          <w:rtl/>
        </w:rPr>
        <w:t>(מרים גור אריה,</w:t>
      </w:r>
      <w:r>
        <w:rPr>
          <w:rFonts w:ascii="David" w:hAnsi="David" w:hint="cs"/>
          <w:rtl/>
        </w:rPr>
        <w:t xml:space="preserve"> הרפורמה בעבירות המתה: על מדרג עבירות ההמתה ועל רצח מתוך אדישות,</w:t>
      </w:r>
      <w:r w:rsidRPr="00D543C6">
        <w:rPr>
          <w:rFonts w:ascii="David" w:hAnsi="David"/>
          <w:rtl/>
        </w:rPr>
        <w:t xml:space="preserve"> עמוד 460)</w:t>
      </w:r>
      <w:r w:rsidR="00C874BD">
        <w:rPr>
          <w:rFonts w:ascii="David" w:hAnsi="David" w:hint="cs"/>
          <w:rtl/>
        </w:rPr>
        <w:t>.</w:t>
      </w:r>
    </w:p>
    <w:p w:rsidR="00C874BD" w:rsidRDefault="00C874BD" w:rsidP="00272CAC">
      <w:pPr>
        <w:spacing w:line="360" w:lineRule="auto"/>
        <w:ind w:left="720"/>
        <w:jc w:val="both"/>
        <w:rPr>
          <w:rFonts w:ascii="David" w:hAnsi="David"/>
          <w:rtl/>
        </w:rPr>
      </w:pPr>
    </w:p>
    <w:p w:rsidR="00272CAC" w:rsidRDefault="00272CAC" w:rsidP="00272CAC">
      <w:pPr>
        <w:spacing w:line="360" w:lineRule="auto"/>
        <w:ind w:left="720" w:hanging="720"/>
        <w:jc w:val="both"/>
        <w:rPr>
          <w:rFonts w:ascii="David" w:hAnsi="David"/>
          <w:rtl/>
        </w:rPr>
      </w:pPr>
      <w:r>
        <w:rPr>
          <w:rFonts w:ascii="David" w:hAnsi="David" w:hint="cs"/>
          <w:rtl/>
        </w:rPr>
        <w:t>15.</w:t>
      </w:r>
      <w:r>
        <w:rPr>
          <w:rFonts w:ascii="David" w:hAnsi="David" w:hint="cs"/>
          <w:rtl/>
        </w:rPr>
        <w:tab/>
        <w:t xml:space="preserve">בענייננו, לדעתי, נמצא שתקוות הנאשם למנוע את מותו של המנוח אכן נלמדת מהלחיצה על תפס המחסנית במטרה להוציאה ממקומה בניסיון שלא ייגרף כדור. כאמור מדובר בפעולה יזומה ואקטיבית המצביעה על כך שהנאשם העריך ששחרור התפס לא יביא למותו של המנוח. </w:t>
      </w:r>
    </w:p>
    <w:p w:rsidR="00272CAC" w:rsidRDefault="00272CAC" w:rsidP="00272CAC">
      <w:pPr>
        <w:spacing w:line="360" w:lineRule="auto"/>
        <w:ind w:left="720"/>
        <w:contextualSpacing/>
        <w:jc w:val="both"/>
        <w:rPr>
          <w:rFonts w:ascii="David" w:hAnsi="David"/>
          <w:rtl/>
        </w:rPr>
      </w:pPr>
      <w:r>
        <w:rPr>
          <w:rFonts w:ascii="David" w:hAnsi="David" w:hint="cs"/>
          <w:rtl/>
        </w:rPr>
        <w:t xml:space="preserve">מדובר בנאשם שיש לו מיומנות בשימוש בנשק, ועובדה זו יכולה להיות בעלת השפעה שכן מצד אחד מי שמיומן לא אמור ליטול סיכון כה גדול היכול אולי ללמד על חוסר אכפתיות לגבי התוצאה - כנטען ע"י המאשימה, אולם מצד שני גם על כך שבשל המיומנות והניסיון בשימוש בנשק ידע הנאשם שהנמכת המחסנית לא תביא לגריפת כדור ולא תאפשר ירי, ובהחלט אפשר להסיק מכך גם על תקוותו (המבוססת על מיומנותו) שלא תתרחש תוצאה קטלנית. </w:t>
      </w:r>
    </w:p>
    <w:p w:rsidR="00272CAC" w:rsidRDefault="00272CAC" w:rsidP="00272CAC">
      <w:pPr>
        <w:spacing w:line="360" w:lineRule="auto"/>
        <w:ind w:left="720"/>
        <w:contextualSpacing/>
        <w:jc w:val="both"/>
        <w:rPr>
          <w:rFonts w:ascii="David" w:hAnsi="David"/>
          <w:rtl/>
        </w:rPr>
      </w:pPr>
      <w:r>
        <w:rPr>
          <w:rFonts w:ascii="David" w:hAnsi="David" w:hint="cs"/>
          <w:rtl/>
        </w:rPr>
        <w:t xml:space="preserve">גם משחקיו המרובים של הנאשם בנשק ואזהרות חבריו לגבי הסיכון שבכך יכולות להתפרש בשני אופנים, כך שמצד אחד הוא הבין והיה מודע היטב לסיכון הטמון במעשיו, אולם בשל העובדה שבכל הפעמים "המשחקים" הללו הסתיימו בשלום יכולה גם להצביע על הערכה, מחשבה ותקווה - שהם פרי ניסיון העבר, שגם הפעם מעשה הלחיצה על התפס לא יגרום לירי.  </w:t>
      </w:r>
    </w:p>
    <w:p w:rsidR="00272CAC" w:rsidRDefault="00272CAC" w:rsidP="00272CAC">
      <w:pPr>
        <w:spacing w:line="360" w:lineRule="auto"/>
        <w:ind w:left="720" w:hanging="720"/>
        <w:contextualSpacing/>
        <w:jc w:val="both"/>
        <w:rPr>
          <w:rFonts w:ascii="David" w:hAnsi="David"/>
          <w:rtl/>
        </w:rPr>
      </w:pPr>
      <w:r>
        <w:rPr>
          <w:rFonts w:ascii="David" w:hAnsi="David"/>
          <w:rtl/>
        </w:rPr>
        <w:tab/>
      </w:r>
      <w:r>
        <w:rPr>
          <w:rFonts w:ascii="David" w:hAnsi="David" w:hint="cs"/>
          <w:rtl/>
        </w:rPr>
        <w:t xml:space="preserve">ב"כ המאשימה העלו בסיכומיהם טענות נוספות שלטעמם מצביעות על אדישותו של הנאשם למותו של המנוח, אלא שאני מצטרפת בהקשר זה לכל מסקנותיו של חברי השופט ליפשיץ, כי המאשימה לא הוכיחה את אדישותו של הנאשם כמפורט בחוות דעתו, ועל כן יש להרשיע את הנאשם בעבירה של המתה בקלות דעת ע"פ סעיף 301ג לחוק העונשין, לצד הרשעתו בכל יתר העבירות האחרות המיוחסות לו בכתב האישום המתוקן.  </w:t>
      </w:r>
    </w:p>
    <w:p w:rsidR="00272CAC" w:rsidRDefault="00272CAC" w:rsidP="00272CAC">
      <w:pPr>
        <w:spacing w:line="360" w:lineRule="auto"/>
        <w:ind w:left="720" w:hanging="720"/>
        <w:contextualSpacing/>
        <w:jc w:val="both"/>
        <w:rPr>
          <w:rFonts w:ascii="David" w:hAnsi="David"/>
          <w:rtl/>
        </w:rPr>
      </w:pPr>
      <w:r>
        <w:rPr>
          <w:rFonts w:ascii="David" w:hAnsi="David"/>
          <w:rtl/>
        </w:rPr>
        <w:tab/>
      </w:r>
    </w:p>
    <w:tbl>
      <w:tblPr>
        <w:tblStyle w:val="a7"/>
        <w:bidiVisual/>
        <w:tblW w:w="0" w:type="auto"/>
        <w:tblInd w:w="5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06"/>
      </w:tblGrid>
      <w:tr w:rsidR="0025728F" w:rsidTr="0025728F">
        <w:tc>
          <w:tcPr>
            <w:tcW w:w="2406" w:type="dxa"/>
            <w:tcBorders>
              <w:top w:val="nil"/>
              <w:left w:val="nil"/>
              <w:bottom w:val="single" w:sz="4" w:space="0" w:color="auto"/>
              <w:right w:val="nil"/>
            </w:tcBorders>
            <w:vAlign w:val="bottom"/>
            <w:hideMark/>
          </w:tcPr>
          <w:p w:rsidR="0025728F" w:rsidRDefault="0025728F">
            <w:pPr>
              <w:jc w:val="center"/>
              <w:rPr>
                <w:rFonts w:ascii="David" w:hAnsi="David"/>
                <w:b/>
                <w:bCs/>
              </w:rPr>
            </w:pPr>
            <w:r>
              <w:rPr>
                <w:rFonts w:ascii="David" w:hAnsi="David"/>
                <w:b/>
                <w:bCs/>
                <w:noProof/>
              </w:rPr>
              <w:lastRenderedPageBreak/>
              <w:drawing>
                <wp:inline distT="0" distB="0" distL="0" distR="0">
                  <wp:extent cx="1308100" cy="831850"/>
                  <wp:effectExtent l="0" t="0" r="6350" b="635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08100" cy="831850"/>
                          </a:xfrm>
                          <a:prstGeom prst="rect">
                            <a:avLst/>
                          </a:prstGeom>
                          <a:noFill/>
                          <a:ln>
                            <a:noFill/>
                          </a:ln>
                        </pic:spPr>
                      </pic:pic>
                    </a:graphicData>
                  </a:graphic>
                </wp:inline>
              </w:drawing>
            </w:r>
          </w:p>
        </w:tc>
      </w:tr>
      <w:tr w:rsidR="0025728F" w:rsidTr="0025728F">
        <w:tc>
          <w:tcPr>
            <w:tcW w:w="2406" w:type="dxa"/>
            <w:tcBorders>
              <w:top w:val="single" w:sz="4" w:space="0" w:color="auto"/>
              <w:left w:val="nil"/>
              <w:bottom w:val="nil"/>
              <w:right w:val="nil"/>
            </w:tcBorders>
            <w:hideMark/>
          </w:tcPr>
          <w:p w:rsidR="0025728F" w:rsidRDefault="0025728F">
            <w:pPr>
              <w:spacing w:line="360" w:lineRule="auto"/>
              <w:jc w:val="center"/>
              <w:rPr>
                <w:rFonts w:ascii="David" w:hAnsi="David"/>
                <w:b/>
                <w:bCs/>
                <w:noProof/>
              </w:rPr>
            </w:pPr>
            <w:r>
              <w:rPr>
                <w:rFonts w:ascii="David" w:hAnsi="David"/>
                <w:b/>
                <w:bCs/>
                <w:rtl/>
              </w:rPr>
              <w:t>ג. ציגלר , שופטת</w:t>
            </w:r>
          </w:p>
        </w:tc>
      </w:tr>
    </w:tbl>
    <w:p w:rsidR="00272CAC" w:rsidRDefault="00272CAC" w:rsidP="00272CAC">
      <w:pPr>
        <w:rPr>
          <w:rFonts w:ascii="Calibri" w:hAnsi="Calibri" w:cs="Calibri"/>
          <w:rtl/>
        </w:rPr>
      </w:pPr>
    </w:p>
    <w:p w:rsidR="00272CAC" w:rsidRPr="0025728F" w:rsidRDefault="0025728F" w:rsidP="000B757D">
      <w:pPr>
        <w:spacing w:line="360" w:lineRule="auto"/>
        <w:rPr>
          <w:b/>
          <w:bCs/>
          <w:rtl/>
        </w:rPr>
      </w:pPr>
      <w:r w:rsidRPr="0025728F">
        <w:rPr>
          <w:rFonts w:hint="cs"/>
          <w:b/>
          <w:bCs/>
          <w:rtl/>
        </w:rPr>
        <w:t>השופט שמואל מנדלבום:</w:t>
      </w:r>
    </w:p>
    <w:p w:rsidR="0025728F" w:rsidRDefault="000B757D" w:rsidP="000B757D">
      <w:pPr>
        <w:spacing w:line="360" w:lineRule="auto"/>
        <w:rPr>
          <w:rtl/>
        </w:rPr>
      </w:pPr>
      <w:r>
        <w:rPr>
          <w:rFonts w:hint="cs"/>
          <w:rtl/>
        </w:rPr>
        <w:t xml:space="preserve">אני מסכים ומצטרף לקביעותיהם ומסקנותיהם של שני חבריי, כפי שפורטו בחוות דעתם. </w:t>
      </w:r>
    </w:p>
    <w:tbl>
      <w:tblPr>
        <w:tblStyle w:val="a7"/>
        <w:bidiVisual/>
        <w:tblW w:w="2576" w:type="dxa"/>
        <w:tblInd w:w="5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76"/>
      </w:tblGrid>
      <w:tr w:rsidR="0025728F" w:rsidTr="0025728F">
        <w:tc>
          <w:tcPr>
            <w:tcW w:w="2576" w:type="dxa"/>
            <w:tcBorders>
              <w:top w:val="nil"/>
              <w:left w:val="nil"/>
              <w:bottom w:val="single" w:sz="4" w:space="0" w:color="auto"/>
              <w:right w:val="nil"/>
            </w:tcBorders>
            <w:vAlign w:val="bottom"/>
            <w:hideMark/>
          </w:tcPr>
          <w:p w:rsidR="0025728F" w:rsidRDefault="0025728F">
            <w:pPr>
              <w:jc w:val="center"/>
              <w:rPr>
                <w:rFonts w:ascii="David" w:hAnsi="David"/>
                <w:b/>
                <w:bCs/>
              </w:rPr>
            </w:pPr>
            <w:r>
              <w:rPr>
                <w:rFonts w:ascii="David" w:hAnsi="David"/>
                <w:noProof/>
              </w:rPr>
              <w:drawing>
                <wp:inline distT="0" distB="0" distL="0" distR="0">
                  <wp:extent cx="1174750" cy="857250"/>
                  <wp:effectExtent l="0" t="0" r="6350" b="0"/>
                  <wp:docPr id="4" name="תמונה 4" descr="05779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577938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74750" cy="857250"/>
                          </a:xfrm>
                          <a:prstGeom prst="rect">
                            <a:avLst/>
                          </a:prstGeom>
                          <a:noFill/>
                          <a:ln>
                            <a:noFill/>
                          </a:ln>
                        </pic:spPr>
                      </pic:pic>
                    </a:graphicData>
                  </a:graphic>
                </wp:inline>
              </w:drawing>
            </w:r>
          </w:p>
        </w:tc>
      </w:tr>
      <w:tr w:rsidR="0025728F" w:rsidTr="0025728F">
        <w:tc>
          <w:tcPr>
            <w:tcW w:w="2576" w:type="dxa"/>
            <w:tcBorders>
              <w:top w:val="single" w:sz="4" w:space="0" w:color="auto"/>
              <w:left w:val="nil"/>
              <w:bottom w:val="nil"/>
              <w:right w:val="nil"/>
            </w:tcBorders>
          </w:tcPr>
          <w:p w:rsidR="0025728F" w:rsidRDefault="0025728F">
            <w:pPr>
              <w:spacing w:line="360" w:lineRule="auto"/>
              <w:rPr>
                <w:rFonts w:ascii="David" w:hAnsi="David"/>
                <w:b/>
                <w:bCs/>
                <w:noProof/>
              </w:rPr>
            </w:pPr>
            <w:r>
              <w:rPr>
                <w:rFonts w:ascii="David" w:hAnsi="David"/>
                <w:b/>
                <w:bCs/>
                <w:rtl/>
              </w:rPr>
              <w:t xml:space="preserve">         ש. מנדלבום, שופט</w:t>
            </w:r>
          </w:p>
          <w:p w:rsidR="0025728F" w:rsidRDefault="0025728F">
            <w:pPr>
              <w:spacing w:line="360" w:lineRule="auto"/>
              <w:jc w:val="center"/>
              <w:rPr>
                <w:rFonts w:ascii="David" w:hAnsi="David"/>
                <w:b/>
                <w:bCs/>
                <w:rtl/>
              </w:rPr>
            </w:pPr>
          </w:p>
          <w:p w:rsidR="0025728F" w:rsidRDefault="0025728F">
            <w:pPr>
              <w:spacing w:line="360" w:lineRule="auto"/>
              <w:jc w:val="center"/>
              <w:rPr>
                <w:rFonts w:ascii="David" w:hAnsi="David"/>
                <w:b/>
                <w:bCs/>
              </w:rPr>
            </w:pPr>
          </w:p>
        </w:tc>
      </w:tr>
    </w:tbl>
    <w:p w:rsidR="00C874BD" w:rsidRDefault="0025728F" w:rsidP="00C874BD">
      <w:pPr>
        <w:spacing w:line="360" w:lineRule="auto"/>
        <w:contextualSpacing/>
        <w:jc w:val="both"/>
        <w:rPr>
          <w:rFonts w:ascii="David" w:hAnsi="David"/>
          <w:rtl/>
        </w:rPr>
      </w:pPr>
      <w:r w:rsidRPr="00C874BD">
        <w:rPr>
          <w:rFonts w:ascii="David" w:hAnsi="David" w:hint="cs"/>
          <w:b/>
          <w:bCs/>
          <w:rtl/>
        </w:rPr>
        <w:t>סוף דבר, הוחלט פה אחד</w:t>
      </w:r>
      <w:r w:rsidR="00C874BD">
        <w:rPr>
          <w:rFonts w:ascii="David" w:hAnsi="David" w:hint="cs"/>
          <w:b/>
          <w:bCs/>
          <w:rtl/>
        </w:rPr>
        <w:t xml:space="preserve"> - </w:t>
      </w:r>
    </w:p>
    <w:p w:rsidR="00C874BD" w:rsidRDefault="00C874BD" w:rsidP="00C874BD">
      <w:pPr>
        <w:spacing w:line="360" w:lineRule="auto"/>
        <w:contextualSpacing/>
        <w:jc w:val="both"/>
        <w:rPr>
          <w:rFonts w:ascii="David" w:hAnsi="David"/>
          <w:rtl/>
        </w:rPr>
      </w:pPr>
    </w:p>
    <w:p w:rsidR="0025728F" w:rsidRDefault="0025728F" w:rsidP="00C874BD">
      <w:pPr>
        <w:spacing w:line="360" w:lineRule="auto"/>
        <w:contextualSpacing/>
        <w:jc w:val="both"/>
        <w:rPr>
          <w:rFonts w:ascii="David" w:hAnsi="David"/>
        </w:rPr>
      </w:pPr>
      <w:r w:rsidRPr="00C874BD">
        <w:rPr>
          <w:rFonts w:ascii="David" w:hAnsi="David" w:hint="cs"/>
          <w:rtl/>
        </w:rPr>
        <w:t xml:space="preserve">להרשיע </w:t>
      </w:r>
      <w:r w:rsidRPr="007C03EE">
        <w:rPr>
          <w:rFonts w:ascii="David" w:hAnsi="David" w:hint="cs"/>
          <w:rtl/>
        </w:rPr>
        <w:t xml:space="preserve"> </w:t>
      </w:r>
      <w:r>
        <w:rPr>
          <w:rFonts w:ascii="David" w:hAnsi="David" w:hint="cs"/>
          <w:rtl/>
        </w:rPr>
        <w:t xml:space="preserve">הנאשם </w:t>
      </w:r>
      <w:r>
        <w:rPr>
          <w:rFonts w:ascii="David" w:hAnsi="David"/>
          <w:rtl/>
        </w:rPr>
        <w:t>–</w:t>
      </w:r>
      <w:r>
        <w:rPr>
          <w:rFonts w:ascii="David" w:hAnsi="David" w:hint="cs"/>
          <w:rtl/>
        </w:rPr>
        <w:t xml:space="preserve"> ככל שהדברים נוגעים ל</w:t>
      </w:r>
      <w:r w:rsidRPr="00C874BD">
        <w:rPr>
          <w:rFonts w:ascii="David" w:hAnsi="David" w:hint="cs"/>
          <w:u w:val="single"/>
          <w:rtl/>
        </w:rPr>
        <w:t>אישום הראשון של כתב האישום המתוקן</w:t>
      </w:r>
      <w:r>
        <w:rPr>
          <w:rFonts w:ascii="David" w:hAnsi="David" w:hint="cs"/>
          <w:rtl/>
        </w:rPr>
        <w:t xml:space="preserve"> - </w:t>
      </w:r>
      <w:r w:rsidRPr="007C03EE">
        <w:rPr>
          <w:rFonts w:ascii="David" w:hAnsi="David" w:hint="cs"/>
          <w:rtl/>
        </w:rPr>
        <w:t xml:space="preserve">בעבירה של </w:t>
      </w:r>
      <w:r w:rsidRPr="00C874BD">
        <w:rPr>
          <w:rFonts w:ascii="David" w:hAnsi="David" w:hint="cs"/>
          <w:b/>
          <w:bCs/>
          <w:rtl/>
        </w:rPr>
        <w:t>המתה בקלות דעת</w:t>
      </w:r>
      <w:r w:rsidRPr="007C03EE">
        <w:rPr>
          <w:rFonts w:ascii="David" w:hAnsi="David" w:hint="cs"/>
          <w:rtl/>
        </w:rPr>
        <w:t>, לפי ס' 301ג' לחוק העונשין</w:t>
      </w:r>
      <w:r>
        <w:rPr>
          <w:rFonts w:ascii="David" w:hAnsi="David" w:hint="cs"/>
          <w:rtl/>
        </w:rPr>
        <w:t xml:space="preserve">, </w:t>
      </w:r>
      <w:r w:rsidRPr="007C03EE">
        <w:rPr>
          <w:rFonts w:ascii="David" w:hAnsi="David" w:hint="cs"/>
          <w:rtl/>
        </w:rPr>
        <w:t xml:space="preserve">וזאת חלף העבירה שיוחסה לו </w:t>
      </w:r>
      <w:r>
        <w:rPr>
          <w:rFonts w:ascii="David" w:hAnsi="David" w:hint="cs"/>
          <w:rtl/>
        </w:rPr>
        <w:t>(</w:t>
      </w:r>
      <w:r w:rsidRPr="007C03EE">
        <w:rPr>
          <w:rFonts w:ascii="David" w:hAnsi="David" w:hint="cs"/>
          <w:rtl/>
        </w:rPr>
        <w:t>רצח באדישות לפי ס' 300(א) לחוק העונשין</w:t>
      </w:r>
      <w:r>
        <w:rPr>
          <w:rFonts w:ascii="David" w:hAnsi="David" w:hint="cs"/>
          <w:rtl/>
        </w:rPr>
        <w:t xml:space="preserve">); וכן בעבירה של </w:t>
      </w:r>
      <w:r w:rsidRPr="00C874BD">
        <w:rPr>
          <w:rFonts w:ascii="David" w:hAnsi="David" w:hint="cs"/>
          <w:b/>
          <w:bCs/>
          <w:rtl/>
        </w:rPr>
        <w:t>שיבוש מהלכי משפט</w:t>
      </w:r>
      <w:r>
        <w:rPr>
          <w:rFonts w:ascii="David" w:hAnsi="David" w:hint="cs"/>
          <w:rtl/>
        </w:rPr>
        <w:t>, לפי ס' 244 לחוק העונשין.</w:t>
      </w:r>
    </w:p>
    <w:p w:rsidR="0025728F" w:rsidRPr="00C874BD" w:rsidRDefault="0025728F" w:rsidP="00C874BD">
      <w:pPr>
        <w:spacing w:line="360" w:lineRule="auto"/>
        <w:ind w:left="720"/>
        <w:contextualSpacing/>
        <w:jc w:val="both"/>
        <w:rPr>
          <w:rFonts w:ascii="David" w:hAnsi="David"/>
          <w:rtl/>
        </w:rPr>
      </w:pPr>
    </w:p>
    <w:p w:rsidR="0025728F" w:rsidRPr="00CC40FD" w:rsidRDefault="0025728F" w:rsidP="00C874BD">
      <w:pPr>
        <w:spacing w:line="360" w:lineRule="auto"/>
        <w:contextualSpacing/>
        <w:jc w:val="both"/>
        <w:rPr>
          <w:rFonts w:ascii="David" w:hAnsi="David"/>
        </w:rPr>
      </w:pPr>
      <w:r>
        <w:rPr>
          <w:rFonts w:ascii="David" w:hAnsi="David" w:hint="cs"/>
          <w:rtl/>
        </w:rPr>
        <w:t xml:space="preserve">בנוסף, יורשע הנאשם </w:t>
      </w:r>
      <w:r>
        <w:rPr>
          <w:rFonts w:ascii="David" w:hAnsi="David"/>
          <w:rtl/>
        </w:rPr>
        <w:t>–</w:t>
      </w:r>
      <w:r>
        <w:rPr>
          <w:rFonts w:ascii="David" w:hAnsi="David" w:hint="cs"/>
          <w:rtl/>
        </w:rPr>
        <w:t xml:space="preserve"> על בסיס הודייתו </w:t>
      </w:r>
      <w:r>
        <w:rPr>
          <w:rFonts w:ascii="David" w:hAnsi="David"/>
          <w:rtl/>
        </w:rPr>
        <w:t>–</w:t>
      </w:r>
      <w:r>
        <w:rPr>
          <w:rFonts w:ascii="David" w:hAnsi="David" w:hint="cs"/>
          <w:rtl/>
        </w:rPr>
        <w:t xml:space="preserve"> בעבירות שיוחסו לו </w:t>
      </w:r>
      <w:r w:rsidRPr="00C874BD">
        <w:rPr>
          <w:rFonts w:ascii="David" w:hAnsi="David" w:hint="cs"/>
          <w:u w:val="single"/>
          <w:rtl/>
        </w:rPr>
        <w:t>באישום השני של כתב האישום המתוקן</w:t>
      </w:r>
      <w:r>
        <w:rPr>
          <w:rFonts w:ascii="David" w:hAnsi="David" w:hint="cs"/>
          <w:rtl/>
        </w:rPr>
        <w:t xml:space="preserve">, והן: </w:t>
      </w:r>
      <w:r w:rsidRPr="00C874BD">
        <w:rPr>
          <w:rFonts w:ascii="David" w:hAnsi="David"/>
          <w:b/>
          <w:bCs/>
          <w:rtl/>
        </w:rPr>
        <w:t>איומים</w:t>
      </w:r>
      <w:r w:rsidRPr="00CC40FD">
        <w:rPr>
          <w:rFonts w:ascii="David" w:hAnsi="David"/>
          <w:rtl/>
        </w:rPr>
        <w:t xml:space="preserve"> (ריבוי </w:t>
      </w:r>
      <w:r>
        <w:rPr>
          <w:rFonts w:ascii="David" w:hAnsi="David" w:hint="cs"/>
          <w:rtl/>
        </w:rPr>
        <w:t>מקרים</w:t>
      </w:r>
      <w:r w:rsidRPr="00CC40FD">
        <w:rPr>
          <w:rFonts w:ascii="David" w:hAnsi="David"/>
          <w:rtl/>
        </w:rPr>
        <w:t>)</w:t>
      </w:r>
      <w:r>
        <w:rPr>
          <w:rFonts w:ascii="David" w:hAnsi="David" w:hint="cs"/>
          <w:rtl/>
        </w:rPr>
        <w:t xml:space="preserve">, </w:t>
      </w:r>
      <w:r w:rsidRPr="00CC40FD">
        <w:rPr>
          <w:rFonts w:ascii="David" w:hAnsi="David"/>
          <w:rtl/>
        </w:rPr>
        <w:t>לפי סעיף 192 לחוק</w:t>
      </w:r>
      <w:r>
        <w:rPr>
          <w:rFonts w:ascii="David" w:hAnsi="David" w:hint="cs"/>
          <w:rtl/>
        </w:rPr>
        <w:t xml:space="preserve">; </w:t>
      </w:r>
      <w:r w:rsidRPr="00C874BD">
        <w:rPr>
          <w:rFonts w:ascii="David" w:hAnsi="David"/>
          <w:b/>
          <w:bCs/>
          <w:rtl/>
        </w:rPr>
        <w:t>מעשה פזיזות ורשלנות</w:t>
      </w:r>
      <w:r w:rsidRPr="00CC40FD">
        <w:rPr>
          <w:rFonts w:ascii="David" w:hAnsi="David"/>
          <w:rtl/>
        </w:rPr>
        <w:t xml:space="preserve"> (ריבוי </w:t>
      </w:r>
      <w:r>
        <w:rPr>
          <w:rFonts w:ascii="David" w:hAnsi="David" w:hint="cs"/>
          <w:rtl/>
        </w:rPr>
        <w:t>מקרים</w:t>
      </w:r>
      <w:r w:rsidRPr="00CC40FD">
        <w:rPr>
          <w:rFonts w:ascii="David" w:hAnsi="David"/>
          <w:rtl/>
        </w:rPr>
        <w:t>)</w:t>
      </w:r>
      <w:r>
        <w:rPr>
          <w:rFonts w:ascii="David" w:hAnsi="David" w:hint="cs"/>
          <w:rtl/>
        </w:rPr>
        <w:t xml:space="preserve">, </w:t>
      </w:r>
      <w:r w:rsidRPr="00CC40FD">
        <w:rPr>
          <w:rFonts w:ascii="David" w:hAnsi="David"/>
          <w:rtl/>
        </w:rPr>
        <w:t>לפי סעיף 338(א)(5) לחוק</w:t>
      </w:r>
      <w:r>
        <w:rPr>
          <w:rFonts w:ascii="David" w:hAnsi="David" w:hint="cs"/>
          <w:rtl/>
        </w:rPr>
        <w:t xml:space="preserve">; </w:t>
      </w:r>
      <w:r w:rsidRPr="00C874BD">
        <w:rPr>
          <w:rFonts w:ascii="David" w:hAnsi="David" w:hint="cs"/>
          <w:rtl/>
        </w:rPr>
        <w:t>ו</w:t>
      </w:r>
      <w:r w:rsidRPr="00C874BD">
        <w:rPr>
          <w:rFonts w:ascii="David" w:hAnsi="David"/>
          <w:b/>
          <w:bCs/>
          <w:rtl/>
        </w:rPr>
        <w:t>תקיפה סתם</w:t>
      </w:r>
      <w:r w:rsidRPr="00CC40FD">
        <w:rPr>
          <w:rFonts w:ascii="David" w:hAnsi="David"/>
          <w:rtl/>
        </w:rPr>
        <w:t xml:space="preserve"> (ריבוי </w:t>
      </w:r>
      <w:r>
        <w:rPr>
          <w:rFonts w:ascii="David" w:hAnsi="David" w:hint="cs"/>
          <w:rtl/>
        </w:rPr>
        <w:t>מקרים</w:t>
      </w:r>
      <w:r w:rsidRPr="00CC40FD">
        <w:rPr>
          <w:rFonts w:ascii="David" w:hAnsi="David"/>
          <w:rtl/>
        </w:rPr>
        <w:t>)</w:t>
      </w:r>
      <w:r>
        <w:rPr>
          <w:rFonts w:ascii="David" w:hAnsi="David" w:hint="cs"/>
          <w:rtl/>
        </w:rPr>
        <w:t xml:space="preserve">, </w:t>
      </w:r>
      <w:r w:rsidRPr="00CC40FD">
        <w:rPr>
          <w:rFonts w:ascii="David" w:hAnsi="David"/>
          <w:rtl/>
        </w:rPr>
        <w:t xml:space="preserve">לפי סעיף 379 לחוק. </w:t>
      </w:r>
    </w:p>
    <w:p w:rsidR="0025728F" w:rsidRPr="00C874BD" w:rsidRDefault="0025728F" w:rsidP="00C874BD">
      <w:pPr>
        <w:spacing w:line="360" w:lineRule="auto"/>
        <w:ind w:left="720"/>
        <w:contextualSpacing/>
        <w:jc w:val="both"/>
        <w:rPr>
          <w:rFonts w:ascii="David" w:hAnsi="David"/>
        </w:rPr>
      </w:pPr>
    </w:p>
    <w:p w:rsidR="00870F64" w:rsidRDefault="0051562C" w:rsidP="00C874BD">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י"ג כסלו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26 נובמבר 2023</w:t>
          </w:r>
        </w:sdtContent>
      </w:sdt>
      <w:r w:rsidRPr="00B949CB">
        <w:rPr>
          <w:rFonts w:ascii="Arial" w:hAnsi="Arial"/>
          <w:rtl/>
        </w:rPr>
        <w:t>, ב</w:t>
      </w:r>
      <w:r w:rsidR="00C874BD">
        <w:rPr>
          <w:rFonts w:ascii="Arial" w:hAnsi="Arial" w:hint="cs"/>
          <w:rtl/>
        </w:rPr>
        <w:t xml:space="preserve">נוכחות </w:t>
      </w:r>
      <w:r w:rsidRPr="00B949CB">
        <w:rPr>
          <w:rFonts w:ascii="Arial" w:hAnsi="Arial"/>
          <w:rtl/>
        </w:rPr>
        <w:t>הצדדים</w:t>
      </w:r>
      <w:r w:rsidR="00C874BD">
        <w:rPr>
          <w:rFonts w:ascii="Arial" w:hAnsi="Arial" w:hint="cs"/>
          <w:rtl/>
        </w:rPr>
        <w:t>.</w:t>
      </w:r>
    </w:p>
    <w:tbl>
      <w:tblPr>
        <w:tblStyle w:val="a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24"/>
        <w:gridCol w:w="359"/>
        <w:gridCol w:w="2405"/>
        <w:gridCol w:w="345"/>
        <w:gridCol w:w="2572"/>
      </w:tblGrid>
      <w:tr w:rsidR="00C874BD" w:rsidTr="00C874BD">
        <w:tc>
          <w:tcPr>
            <w:tcW w:w="2824" w:type="dxa"/>
            <w:tcBorders>
              <w:top w:val="nil"/>
              <w:left w:val="nil"/>
              <w:bottom w:val="single" w:sz="4" w:space="0" w:color="auto"/>
              <w:right w:val="nil"/>
            </w:tcBorders>
            <w:vAlign w:val="bottom"/>
          </w:tcPr>
          <w:p w:rsidR="00C874BD" w:rsidRDefault="00C874BD">
            <w:pPr>
              <w:jc w:val="center"/>
              <w:rPr>
                <w:rFonts w:ascii="Courier New" w:hAnsi="Courier New"/>
                <w:b/>
                <w:bCs/>
                <w:rtl/>
              </w:rPr>
            </w:pPr>
            <w:r>
              <w:rPr>
                <w:noProof/>
              </w:rPr>
              <w:drawing>
                <wp:inline distT="0" distB="0" distL="0" distR="0" wp14:anchorId="2FA219AF" wp14:editId="78C011DB">
                  <wp:extent cx="923290" cy="647065"/>
                  <wp:effectExtent l="0" t="0" r="0" b="635"/>
                  <wp:docPr id="6" name="תמונה 6" descr="C:\Users\Lenab\AppData\Local\Microsoft\Windows\Temporary Internet Files\Content.Word\022768311.tif"/>
                  <wp:cNvGraphicFramePr/>
                  <a:graphic xmlns:a="http://schemas.openxmlformats.org/drawingml/2006/main">
                    <a:graphicData uri="http://schemas.openxmlformats.org/drawingml/2006/picture">
                      <pic:pic xmlns:pic="http://schemas.openxmlformats.org/drawingml/2006/picture">
                        <pic:nvPicPr>
                          <pic:cNvPr id="6" name="תמונה 6" descr="C:\Users\Lenab\AppData\Local\Microsoft\Windows\Temporary Internet Files\Content.Word\022768311.tif"/>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23290" cy="647065"/>
                          </a:xfrm>
                          <a:prstGeom prst="rect">
                            <a:avLst/>
                          </a:prstGeom>
                          <a:noFill/>
                          <a:ln>
                            <a:noFill/>
                          </a:ln>
                        </pic:spPr>
                      </pic:pic>
                    </a:graphicData>
                  </a:graphic>
                </wp:inline>
              </w:drawing>
            </w:r>
          </w:p>
        </w:tc>
        <w:tc>
          <w:tcPr>
            <w:tcW w:w="359" w:type="dxa"/>
            <w:vAlign w:val="bottom"/>
          </w:tcPr>
          <w:p w:rsidR="00C874BD" w:rsidRDefault="00C874BD">
            <w:pPr>
              <w:jc w:val="center"/>
              <w:rPr>
                <w:rFonts w:ascii="Courier New" w:hAnsi="Courier New"/>
                <w:b/>
                <w:bCs/>
              </w:rPr>
            </w:pPr>
          </w:p>
        </w:tc>
        <w:tc>
          <w:tcPr>
            <w:tcW w:w="2405" w:type="dxa"/>
            <w:tcBorders>
              <w:top w:val="nil"/>
              <w:left w:val="nil"/>
              <w:bottom w:val="single" w:sz="4" w:space="0" w:color="auto"/>
              <w:right w:val="nil"/>
            </w:tcBorders>
            <w:vAlign w:val="bottom"/>
          </w:tcPr>
          <w:p w:rsidR="00C874BD" w:rsidRDefault="00C874BD">
            <w:pPr>
              <w:jc w:val="center"/>
              <w:rPr>
                <w:rFonts w:ascii="Courier New" w:hAnsi="Courier New"/>
                <w:b/>
                <w:bCs/>
              </w:rPr>
            </w:pPr>
            <w:r w:rsidRPr="00907CD0">
              <w:rPr>
                <w:rFonts w:ascii="Courier New" w:hAnsi="Courier New"/>
                <w:b/>
                <w:bCs/>
                <w:noProof/>
                <w:rtl/>
              </w:rPr>
              <w:drawing>
                <wp:inline distT="0" distB="0" distL="0" distR="0" wp14:anchorId="61660897" wp14:editId="22648431">
                  <wp:extent cx="1304925" cy="828675"/>
                  <wp:effectExtent l="0" t="0" r="9525"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04925" cy="828675"/>
                          </a:xfrm>
                          <a:prstGeom prst="rect">
                            <a:avLst/>
                          </a:prstGeom>
                          <a:noFill/>
                          <a:ln>
                            <a:noFill/>
                          </a:ln>
                        </pic:spPr>
                      </pic:pic>
                    </a:graphicData>
                  </a:graphic>
                </wp:inline>
              </w:drawing>
            </w:r>
          </w:p>
        </w:tc>
        <w:tc>
          <w:tcPr>
            <w:tcW w:w="345" w:type="dxa"/>
            <w:vAlign w:val="bottom"/>
          </w:tcPr>
          <w:p w:rsidR="00C874BD" w:rsidRDefault="00C874BD">
            <w:pPr>
              <w:jc w:val="center"/>
              <w:rPr>
                <w:rFonts w:ascii="Courier New" w:hAnsi="Courier New"/>
                <w:b/>
                <w:bCs/>
              </w:rPr>
            </w:pPr>
          </w:p>
        </w:tc>
        <w:tc>
          <w:tcPr>
            <w:tcW w:w="2572" w:type="dxa"/>
            <w:tcBorders>
              <w:top w:val="nil"/>
              <w:left w:val="nil"/>
              <w:bottom w:val="single" w:sz="4" w:space="0" w:color="auto"/>
              <w:right w:val="nil"/>
            </w:tcBorders>
            <w:vAlign w:val="bottom"/>
          </w:tcPr>
          <w:p w:rsidR="00C874BD" w:rsidRDefault="00C874BD">
            <w:pPr>
              <w:jc w:val="center"/>
              <w:rPr>
                <w:rFonts w:ascii="Courier New" w:hAnsi="Courier New"/>
                <w:b/>
                <w:bCs/>
              </w:rPr>
            </w:pPr>
            <w:r>
              <w:rPr>
                <w:noProof/>
              </w:rPr>
              <w:drawing>
                <wp:inline distT="0" distB="0" distL="0" distR="0" wp14:anchorId="1F86D0AC" wp14:editId="2A8A4600">
                  <wp:extent cx="1173480" cy="854075"/>
                  <wp:effectExtent l="0" t="0" r="7620" b="3175"/>
                  <wp:docPr id="7" name="תמונה 7" descr="\\ctlnfsv02\Doc_repository\JudgesSignatures\05042006\נציגי שבס - וועדות שחרורים\057793853.tif"/>
                  <wp:cNvGraphicFramePr/>
                  <a:graphic xmlns:a="http://schemas.openxmlformats.org/drawingml/2006/main">
                    <a:graphicData uri="http://schemas.openxmlformats.org/drawingml/2006/picture">
                      <pic:pic xmlns:pic="http://schemas.openxmlformats.org/drawingml/2006/picture">
                        <pic:nvPicPr>
                          <pic:cNvPr id="7" name="תמונה 7" descr="\\ctlnfsv02\Doc_repository\JudgesSignatures\05042006\נציגי שבס - וועדות שחרורים\057793853.tif"/>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73480" cy="854075"/>
                          </a:xfrm>
                          <a:prstGeom prst="rect">
                            <a:avLst/>
                          </a:prstGeom>
                          <a:noFill/>
                          <a:ln>
                            <a:noFill/>
                          </a:ln>
                        </pic:spPr>
                      </pic:pic>
                    </a:graphicData>
                  </a:graphic>
                </wp:inline>
              </w:drawing>
            </w:r>
          </w:p>
        </w:tc>
      </w:tr>
      <w:tr w:rsidR="00C874BD" w:rsidTr="00C874BD">
        <w:tc>
          <w:tcPr>
            <w:tcW w:w="2824" w:type="dxa"/>
            <w:tcBorders>
              <w:top w:val="single" w:sz="4" w:space="0" w:color="auto"/>
              <w:left w:val="nil"/>
              <w:bottom w:val="nil"/>
              <w:right w:val="nil"/>
            </w:tcBorders>
          </w:tcPr>
          <w:p w:rsidR="00C874BD" w:rsidRDefault="00C874BD">
            <w:pPr>
              <w:spacing w:line="360" w:lineRule="auto"/>
              <w:jc w:val="center"/>
              <w:rPr>
                <w:b/>
                <w:bCs/>
                <w:rtl/>
              </w:rPr>
            </w:pPr>
            <w:r>
              <w:rPr>
                <w:rFonts w:hint="cs"/>
                <w:b/>
                <w:bCs/>
                <w:rtl/>
              </w:rPr>
              <w:t xml:space="preserve">י. ליפשיץ , שופט </w:t>
            </w:r>
          </w:p>
          <w:p w:rsidR="00C874BD" w:rsidRDefault="00C874BD">
            <w:pPr>
              <w:spacing w:line="360" w:lineRule="auto"/>
              <w:jc w:val="center"/>
              <w:rPr>
                <w:b/>
                <w:bCs/>
              </w:rPr>
            </w:pPr>
            <w:r>
              <w:rPr>
                <w:rFonts w:hint="cs"/>
                <w:b/>
                <w:bCs/>
                <w:rtl/>
              </w:rPr>
              <w:t>[אב"ד]</w:t>
            </w:r>
          </w:p>
        </w:tc>
        <w:tc>
          <w:tcPr>
            <w:tcW w:w="359" w:type="dxa"/>
          </w:tcPr>
          <w:p w:rsidR="00C874BD" w:rsidRDefault="00C874BD">
            <w:pPr>
              <w:spacing w:line="360" w:lineRule="auto"/>
              <w:rPr>
                <w:b/>
                <w:bCs/>
                <w:color w:val="FF0000"/>
              </w:rPr>
            </w:pPr>
          </w:p>
        </w:tc>
        <w:tc>
          <w:tcPr>
            <w:tcW w:w="2405" w:type="dxa"/>
            <w:tcBorders>
              <w:top w:val="single" w:sz="4" w:space="0" w:color="auto"/>
              <w:left w:val="nil"/>
              <w:bottom w:val="nil"/>
              <w:right w:val="nil"/>
            </w:tcBorders>
          </w:tcPr>
          <w:p w:rsidR="00C874BD" w:rsidRPr="000D21A9" w:rsidRDefault="00C874BD" w:rsidP="00167CDF">
            <w:pPr>
              <w:spacing w:line="360" w:lineRule="auto"/>
              <w:jc w:val="center"/>
              <w:rPr>
                <w:b/>
                <w:bCs/>
                <w:rtl/>
              </w:rPr>
            </w:pPr>
            <w:r>
              <w:rPr>
                <w:rFonts w:hint="cs"/>
                <w:b/>
                <w:bCs/>
                <w:rtl/>
              </w:rPr>
              <w:t>ג. ציגלר , שופטת</w:t>
            </w:r>
          </w:p>
        </w:tc>
        <w:tc>
          <w:tcPr>
            <w:tcW w:w="345" w:type="dxa"/>
          </w:tcPr>
          <w:p w:rsidR="00C874BD" w:rsidRDefault="00C874BD">
            <w:pPr>
              <w:spacing w:line="360" w:lineRule="auto"/>
              <w:rPr>
                <w:b/>
                <w:bCs/>
                <w:color w:val="FF0000"/>
              </w:rPr>
            </w:pPr>
          </w:p>
        </w:tc>
        <w:tc>
          <w:tcPr>
            <w:tcW w:w="2572" w:type="dxa"/>
            <w:tcBorders>
              <w:top w:val="single" w:sz="4" w:space="0" w:color="auto"/>
              <w:left w:val="nil"/>
              <w:bottom w:val="nil"/>
              <w:right w:val="nil"/>
            </w:tcBorders>
          </w:tcPr>
          <w:p w:rsidR="00C874BD" w:rsidRDefault="00C874BD" w:rsidP="007304A9">
            <w:pPr>
              <w:spacing w:line="360" w:lineRule="auto"/>
              <w:rPr>
                <w:b/>
                <w:bCs/>
              </w:rPr>
            </w:pPr>
            <w:r>
              <w:rPr>
                <w:rFonts w:hint="cs"/>
                <w:b/>
                <w:bCs/>
                <w:rtl/>
              </w:rPr>
              <w:t xml:space="preserve">         </w:t>
            </w:r>
            <w:r>
              <w:rPr>
                <w:rFonts w:ascii="Courier New" w:hAnsi="Courier New" w:hint="cs"/>
                <w:b/>
                <w:bCs/>
                <w:rtl/>
              </w:rPr>
              <w:t>ש. מנדלבום, שופט</w:t>
            </w:r>
          </w:p>
          <w:p w:rsidR="00C874BD" w:rsidRDefault="00C874BD">
            <w:pPr>
              <w:spacing w:line="360" w:lineRule="auto"/>
              <w:jc w:val="center"/>
              <w:rPr>
                <w:b/>
                <w:bCs/>
                <w:rtl/>
              </w:rPr>
            </w:pPr>
          </w:p>
        </w:tc>
      </w:tr>
    </w:tbl>
    <w:p w:rsidR="00C874BD" w:rsidRDefault="00C874BD">
      <w:pPr>
        <w:rPr>
          <w:rtl/>
        </w:rPr>
      </w:pPr>
    </w:p>
    <w:p w:rsidR="00AE60C8" w:rsidRDefault="00AE60C8" w:rsidP="00AE60C8">
      <w:pPr>
        <w:tabs>
          <w:tab w:val="left" w:pos="1625"/>
        </w:tabs>
        <w:jc w:val="center"/>
        <w:rPr>
          <w:rtl/>
        </w:rPr>
      </w:pPr>
      <w:r>
        <w:rPr>
          <w:rFonts w:hint="cs"/>
          <w:rtl/>
        </w:rPr>
        <w:t xml:space="preserve">                                </w:t>
      </w:r>
    </w:p>
    <w:sectPr w:rsidR="00AE60C8" w:rsidSect="00870F64">
      <w:headerReference w:type="even" r:id="rId24"/>
      <w:headerReference w:type="default" r:id="rId25"/>
      <w:footerReference w:type="even" r:id="rId26"/>
      <w:footerReference w:type="default" r:id="rId27"/>
      <w:headerReference w:type="first" r:id="rId28"/>
      <w:footerReference w:type="first" r:id="rId29"/>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F64" w:rsidRDefault="0051562C">
      <w:r>
        <w:separator/>
      </w:r>
    </w:p>
  </w:endnote>
  <w:endnote w:type="continuationSeparator" w:id="0">
    <w:p w:rsidR="00870F64" w:rsidRDefault="0051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0FC" w:rsidRDefault="000810F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BB20EF">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BB20EF">
      <w:rPr>
        <w:noProof/>
        <w:rtl/>
      </w:rPr>
      <w:t>64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0FC" w:rsidRDefault="000810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F64" w:rsidRDefault="0051562C">
      <w:r>
        <w:separator/>
      </w:r>
    </w:p>
  </w:footnote>
  <w:footnote w:type="continuationSeparator" w:id="0">
    <w:p w:rsidR="00870F64" w:rsidRDefault="0051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0FC" w:rsidRDefault="000810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בחיפה</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BB20EF">
          <w:pPr>
            <w:rPr>
              <w:rFonts w:cs="FrankRuehl"/>
              <w:sz w:val="28"/>
              <w:szCs w:val="28"/>
              <w:rtl/>
            </w:rPr>
          </w:pPr>
          <w:sdt>
            <w:sdtPr>
              <w:rPr>
                <w:rtl/>
              </w:rPr>
              <w:alias w:val="1170"/>
              <w:tag w:val="1170"/>
              <w:id w:val="873580151"/>
              <w:text w:multiLine="1"/>
            </w:sdtPr>
            <w:sdtEndPr/>
            <w:sdtContent>
              <w:r w:rsidR="00843239">
                <w:rPr>
                  <w:rFonts w:cs="FrankRuehl"/>
                  <w:sz w:val="28"/>
                  <w:szCs w:val="28"/>
                  <w:rtl/>
                </w:rPr>
                <w:t>תפ"ח</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22962-03-21</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טויבי(עציר)</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0FC" w:rsidRDefault="000810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E2"/>
    <w:multiLevelType w:val="hybridMultilevel"/>
    <w:tmpl w:val="ED488F94"/>
    <w:lvl w:ilvl="0" w:tplc="0C624E8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A6001B"/>
    <w:multiLevelType w:val="hybridMultilevel"/>
    <w:tmpl w:val="B2C4B5E4"/>
    <w:lvl w:ilvl="0" w:tplc="A2948644">
      <w:start w:val="1"/>
      <w:numFmt w:val="decimal"/>
      <w:pStyle w:val="Ruller4"/>
      <w:lvlText w:val="%1."/>
      <w:lvlJc w:val="left"/>
      <w:pPr>
        <w:tabs>
          <w:tab w:val="num" w:pos="907"/>
        </w:tabs>
        <w:ind w:left="0" w:firstLine="0"/>
      </w:pPr>
      <w:rPr>
        <w:rFonts w:hint="default"/>
      </w:rPr>
    </w:lvl>
    <w:lvl w:ilvl="1" w:tplc="69FC505E" w:tentative="1">
      <w:start w:val="1"/>
      <w:numFmt w:val="lowerLetter"/>
      <w:lvlText w:val="%2."/>
      <w:lvlJc w:val="left"/>
      <w:pPr>
        <w:tabs>
          <w:tab w:val="num" w:pos="1440"/>
        </w:tabs>
        <w:ind w:left="1440" w:hanging="360"/>
      </w:pPr>
    </w:lvl>
    <w:lvl w:ilvl="2" w:tplc="76843ED8" w:tentative="1">
      <w:start w:val="1"/>
      <w:numFmt w:val="lowerRoman"/>
      <w:lvlText w:val="%3."/>
      <w:lvlJc w:val="right"/>
      <w:pPr>
        <w:tabs>
          <w:tab w:val="num" w:pos="2160"/>
        </w:tabs>
        <w:ind w:left="2160" w:hanging="180"/>
      </w:pPr>
    </w:lvl>
    <w:lvl w:ilvl="3" w:tplc="51C0885C" w:tentative="1">
      <w:start w:val="1"/>
      <w:numFmt w:val="decimal"/>
      <w:lvlText w:val="%4."/>
      <w:lvlJc w:val="left"/>
      <w:pPr>
        <w:tabs>
          <w:tab w:val="num" w:pos="2880"/>
        </w:tabs>
        <w:ind w:left="2880" w:hanging="360"/>
      </w:pPr>
    </w:lvl>
    <w:lvl w:ilvl="4" w:tplc="B9EC07C0" w:tentative="1">
      <w:start w:val="1"/>
      <w:numFmt w:val="lowerLetter"/>
      <w:lvlText w:val="%5."/>
      <w:lvlJc w:val="left"/>
      <w:pPr>
        <w:tabs>
          <w:tab w:val="num" w:pos="3600"/>
        </w:tabs>
        <w:ind w:left="3600" w:hanging="360"/>
      </w:pPr>
    </w:lvl>
    <w:lvl w:ilvl="5" w:tplc="C060D5E6" w:tentative="1">
      <w:start w:val="1"/>
      <w:numFmt w:val="lowerRoman"/>
      <w:lvlText w:val="%6."/>
      <w:lvlJc w:val="right"/>
      <w:pPr>
        <w:tabs>
          <w:tab w:val="num" w:pos="4320"/>
        </w:tabs>
        <w:ind w:left="4320" w:hanging="180"/>
      </w:pPr>
    </w:lvl>
    <w:lvl w:ilvl="6" w:tplc="8F149FF2" w:tentative="1">
      <w:start w:val="1"/>
      <w:numFmt w:val="decimal"/>
      <w:lvlText w:val="%7."/>
      <w:lvlJc w:val="left"/>
      <w:pPr>
        <w:tabs>
          <w:tab w:val="num" w:pos="5040"/>
        </w:tabs>
        <w:ind w:left="5040" w:hanging="360"/>
      </w:pPr>
    </w:lvl>
    <w:lvl w:ilvl="7" w:tplc="9444A2EA" w:tentative="1">
      <w:start w:val="1"/>
      <w:numFmt w:val="lowerLetter"/>
      <w:lvlText w:val="%8."/>
      <w:lvlJc w:val="left"/>
      <w:pPr>
        <w:tabs>
          <w:tab w:val="num" w:pos="5760"/>
        </w:tabs>
        <w:ind w:left="5760" w:hanging="360"/>
      </w:pPr>
    </w:lvl>
    <w:lvl w:ilvl="8" w:tplc="9D66DDAE" w:tentative="1">
      <w:start w:val="1"/>
      <w:numFmt w:val="lowerRoman"/>
      <w:lvlText w:val="%9."/>
      <w:lvlJc w:val="right"/>
      <w:pPr>
        <w:tabs>
          <w:tab w:val="num" w:pos="6480"/>
        </w:tabs>
        <w:ind w:left="6480" w:hanging="180"/>
      </w:pPr>
    </w:lvl>
  </w:abstractNum>
  <w:abstractNum w:abstractNumId="2" w15:restartNumberingAfterBreak="0">
    <w:nsid w:val="113A1315"/>
    <w:multiLevelType w:val="hybridMultilevel"/>
    <w:tmpl w:val="DBC4A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263A"/>
    <w:multiLevelType w:val="hybridMultilevel"/>
    <w:tmpl w:val="454E0E94"/>
    <w:lvl w:ilvl="0" w:tplc="73C4C7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E34135"/>
    <w:multiLevelType w:val="hybridMultilevel"/>
    <w:tmpl w:val="067E4F0E"/>
    <w:lvl w:ilvl="0" w:tplc="A490D5A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F02D8"/>
    <w:multiLevelType w:val="hybridMultilevel"/>
    <w:tmpl w:val="46EE80C8"/>
    <w:lvl w:ilvl="0" w:tplc="47EEEDCE">
      <w:start w:val="1"/>
      <w:numFmt w:val="hebrew1"/>
      <w:lvlText w:val="%1."/>
      <w:lvlJc w:val="left"/>
      <w:pPr>
        <w:tabs>
          <w:tab w:val="num" w:pos="794"/>
        </w:tabs>
        <w:ind w:left="0" w:firstLine="0"/>
      </w:pPr>
      <w:rPr>
        <w:color w:val="auto"/>
        <w:lang w:val="en-US"/>
      </w:rPr>
    </w:lvl>
    <w:lvl w:ilvl="1" w:tplc="FBBCECC0">
      <w:start w:val="13"/>
      <w:numFmt w:val="bullet"/>
      <w:lvlText w:val=""/>
      <w:lvlJc w:val="left"/>
      <w:pPr>
        <w:tabs>
          <w:tab w:val="num" w:pos="1440"/>
        </w:tabs>
        <w:ind w:left="1440" w:hanging="360"/>
      </w:pPr>
      <w:rPr>
        <w:rFonts w:ascii="Symbol" w:eastAsia="Times New Roman" w:hAnsi="Symbol" w:cs="FrankRueh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A80586E"/>
    <w:multiLevelType w:val="hybridMultilevel"/>
    <w:tmpl w:val="F3E088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DB5A8D"/>
    <w:multiLevelType w:val="hybridMultilevel"/>
    <w:tmpl w:val="4E78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620590"/>
    <w:multiLevelType w:val="hybridMultilevel"/>
    <w:tmpl w:val="F3AEE628"/>
    <w:lvl w:ilvl="0" w:tplc="CE985A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6D3906"/>
    <w:multiLevelType w:val="hybridMultilevel"/>
    <w:tmpl w:val="5A4C7802"/>
    <w:lvl w:ilvl="0" w:tplc="7CA2F3E8">
      <w:start w:val="1"/>
      <w:numFmt w:val="decimal"/>
      <w:lvlText w:val="%1."/>
      <w:lvlJc w:val="left"/>
      <w:pPr>
        <w:ind w:left="360" w:hanging="360"/>
      </w:pPr>
      <w:rPr>
        <w:rFonts w:cs="Times New Roman"/>
        <w:b w:val="0"/>
        <w:bCs w:val="0"/>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3" w15:restartNumberingAfterBreak="0">
    <w:nsid w:val="3E730651"/>
    <w:multiLevelType w:val="hybridMultilevel"/>
    <w:tmpl w:val="F3E088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392256"/>
    <w:multiLevelType w:val="hybridMultilevel"/>
    <w:tmpl w:val="72CECDC4"/>
    <w:lvl w:ilvl="0" w:tplc="2062B3C6">
      <w:start w:val="1"/>
      <w:numFmt w:val="decimal"/>
      <w:lvlText w:val="%1."/>
      <w:lvlJc w:val="left"/>
      <w:pPr>
        <w:ind w:left="360" w:hanging="360"/>
      </w:pPr>
      <w:rPr>
        <w:b w:val="0"/>
        <w:bCs w:val="0"/>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F1D5D0E"/>
    <w:multiLevelType w:val="hybridMultilevel"/>
    <w:tmpl w:val="1918F290"/>
    <w:lvl w:ilvl="0" w:tplc="0F663BF4">
      <w:start w:val="1"/>
      <w:numFmt w:val="decimal"/>
      <w:lvlText w:val="%1."/>
      <w:lvlJc w:val="left"/>
      <w:pPr>
        <w:ind w:left="720" w:hanging="360"/>
      </w:pPr>
    </w:lvl>
    <w:lvl w:ilvl="1" w:tplc="74849134">
      <w:start w:val="1"/>
      <w:numFmt w:val="lowerLetter"/>
      <w:lvlText w:val="%2."/>
      <w:lvlJc w:val="left"/>
      <w:pPr>
        <w:ind w:left="1440" w:hanging="360"/>
      </w:pPr>
    </w:lvl>
    <w:lvl w:ilvl="2" w:tplc="16B8DBC6" w:tentative="1">
      <w:start w:val="1"/>
      <w:numFmt w:val="lowerRoman"/>
      <w:lvlText w:val="%3."/>
      <w:lvlJc w:val="right"/>
      <w:pPr>
        <w:ind w:left="2160" w:hanging="180"/>
      </w:pPr>
    </w:lvl>
    <w:lvl w:ilvl="3" w:tplc="E8185E3C" w:tentative="1">
      <w:start w:val="1"/>
      <w:numFmt w:val="decimal"/>
      <w:lvlText w:val="%4."/>
      <w:lvlJc w:val="left"/>
      <w:pPr>
        <w:ind w:left="2880" w:hanging="360"/>
      </w:pPr>
    </w:lvl>
    <w:lvl w:ilvl="4" w:tplc="A3CA2F5A" w:tentative="1">
      <w:start w:val="1"/>
      <w:numFmt w:val="lowerLetter"/>
      <w:lvlText w:val="%5."/>
      <w:lvlJc w:val="left"/>
      <w:pPr>
        <w:ind w:left="3600" w:hanging="360"/>
      </w:pPr>
    </w:lvl>
    <w:lvl w:ilvl="5" w:tplc="0640316A" w:tentative="1">
      <w:start w:val="1"/>
      <w:numFmt w:val="lowerRoman"/>
      <w:lvlText w:val="%6."/>
      <w:lvlJc w:val="right"/>
      <w:pPr>
        <w:ind w:left="4320" w:hanging="180"/>
      </w:pPr>
    </w:lvl>
    <w:lvl w:ilvl="6" w:tplc="408A4ECA" w:tentative="1">
      <w:start w:val="1"/>
      <w:numFmt w:val="decimal"/>
      <w:lvlText w:val="%7."/>
      <w:lvlJc w:val="left"/>
      <w:pPr>
        <w:ind w:left="5040" w:hanging="360"/>
      </w:pPr>
    </w:lvl>
    <w:lvl w:ilvl="7" w:tplc="15722CC4" w:tentative="1">
      <w:start w:val="1"/>
      <w:numFmt w:val="lowerLetter"/>
      <w:lvlText w:val="%8."/>
      <w:lvlJc w:val="left"/>
      <w:pPr>
        <w:ind w:left="5760" w:hanging="360"/>
      </w:pPr>
    </w:lvl>
    <w:lvl w:ilvl="8" w:tplc="C00AC09A" w:tentative="1">
      <w:start w:val="1"/>
      <w:numFmt w:val="lowerRoman"/>
      <w:lvlText w:val="%9."/>
      <w:lvlJc w:val="right"/>
      <w:pPr>
        <w:ind w:left="6480" w:hanging="180"/>
      </w:pPr>
    </w:lvl>
  </w:abstractNum>
  <w:abstractNum w:abstractNumId="16" w15:restartNumberingAfterBreak="0">
    <w:nsid w:val="51AE56DD"/>
    <w:multiLevelType w:val="hybridMultilevel"/>
    <w:tmpl w:val="2828F408"/>
    <w:lvl w:ilvl="0" w:tplc="BA2A847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8A588E"/>
    <w:multiLevelType w:val="hybridMultilevel"/>
    <w:tmpl w:val="2A3A37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7E59BB"/>
    <w:multiLevelType w:val="hybridMultilevel"/>
    <w:tmpl w:val="B1D0E9BA"/>
    <w:lvl w:ilvl="0" w:tplc="9F4EEF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537852"/>
    <w:multiLevelType w:val="hybridMultilevel"/>
    <w:tmpl w:val="FB989D5E"/>
    <w:lvl w:ilvl="0" w:tplc="4E14AB10">
      <w:start w:val="1"/>
      <w:numFmt w:val="decimal"/>
      <w:lvlText w:val="%1."/>
      <w:lvlJc w:val="left"/>
      <w:pPr>
        <w:ind w:left="360" w:hanging="360"/>
      </w:pPr>
      <w:rPr>
        <w:b w:val="0"/>
        <w:bCs w:val="0"/>
      </w:rPr>
    </w:lvl>
    <w:lvl w:ilvl="1" w:tplc="286E898E" w:tentative="1">
      <w:start w:val="1"/>
      <w:numFmt w:val="lowerLetter"/>
      <w:lvlText w:val="%2."/>
      <w:lvlJc w:val="left"/>
      <w:pPr>
        <w:ind w:left="1080" w:hanging="360"/>
      </w:pPr>
    </w:lvl>
    <w:lvl w:ilvl="2" w:tplc="782CD20A" w:tentative="1">
      <w:start w:val="1"/>
      <w:numFmt w:val="lowerRoman"/>
      <w:lvlText w:val="%3."/>
      <w:lvlJc w:val="right"/>
      <w:pPr>
        <w:ind w:left="1800" w:hanging="180"/>
      </w:pPr>
    </w:lvl>
    <w:lvl w:ilvl="3" w:tplc="7DF6B3B4" w:tentative="1">
      <w:start w:val="1"/>
      <w:numFmt w:val="decimal"/>
      <w:lvlText w:val="%4."/>
      <w:lvlJc w:val="left"/>
      <w:pPr>
        <w:ind w:left="2520" w:hanging="360"/>
      </w:pPr>
    </w:lvl>
    <w:lvl w:ilvl="4" w:tplc="76DA02AA" w:tentative="1">
      <w:start w:val="1"/>
      <w:numFmt w:val="lowerLetter"/>
      <w:lvlText w:val="%5."/>
      <w:lvlJc w:val="left"/>
      <w:pPr>
        <w:ind w:left="3240" w:hanging="360"/>
      </w:pPr>
    </w:lvl>
    <w:lvl w:ilvl="5" w:tplc="8E246DB6" w:tentative="1">
      <w:start w:val="1"/>
      <w:numFmt w:val="lowerRoman"/>
      <w:lvlText w:val="%6."/>
      <w:lvlJc w:val="right"/>
      <w:pPr>
        <w:ind w:left="3960" w:hanging="180"/>
      </w:pPr>
    </w:lvl>
    <w:lvl w:ilvl="6" w:tplc="438CB646" w:tentative="1">
      <w:start w:val="1"/>
      <w:numFmt w:val="decimal"/>
      <w:lvlText w:val="%7."/>
      <w:lvlJc w:val="left"/>
      <w:pPr>
        <w:ind w:left="4680" w:hanging="360"/>
      </w:pPr>
    </w:lvl>
    <w:lvl w:ilvl="7" w:tplc="1804AA3A" w:tentative="1">
      <w:start w:val="1"/>
      <w:numFmt w:val="lowerLetter"/>
      <w:lvlText w:val="%8."/>
      <w:lvlJc w:val="left"/>
      <w:pPr>
        <w:ind w:left="5400" w:hanging="360"/>
      </w:pPr>
    </w:lvl>
    <w:lvl w:ilvl="8" w:tplc="01A202AA" w:tentative="1">
      <w:start w:val="1"/>
      <w:numFmt w:val="lowerRoman"/>
      <w:lvlText w:val="%9."/>
      <w:lvlJc w:val="right"/>
      <w:pPr>
        <w:ind w:left="6120" w:hanging="180"/>
      </w:pPr>
    </w:lvl>
  </w:abstractNum>
  <w:abstractNum w:abstractNumId="20"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5721D1"/>
    <w:multiLevelType w:val="hybridMultilevel"/>
    <w:tmpl w:val="D5522DAC"/>
    <w:lvl w:ilvl="0" w:tplc="35B258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B366AD"/>
    <w:multiLevelType w:val="hybridMultilevel"/>
    <w:tmpl w:val="50205876"/>
    <w:lvl w:ilvl="0" w:tplc="F940A4F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9"/>
  </w:num>
  <w:num w:numId="3">
    <w:abstractNumId w:val="11"/>
  </w:num>
  <w:num w:numId="4">
    <w:abstractNumId w:val="7"/>
  </w:num>
  <w:num w:numId="5">
    <w:abstractNumId w:val="20"/>
  </w:num>
  <w:num w:numId="6">
    <w:abstractNumId w:val="24"/>
  </w:num>
  <w:num w:numId="7">
    <w:abstractNumId w:val="8"/>
  </w:num>
  <w:num w:numId="8">
    <w:abstractNumId w:val="0"/>
  </w:num>
  <w:num w:numId="9">
    <w:abstractNumId w:val="18"/>
  </w:num>
  <w:num w:numId="10">
    <w:abstractNumId w:val="21"/>
  </w:num>
  <w:num w:numId="11">
    <w:abstractNumId w:val="10"/>
  </w:num>
  <w:num w:numId="12">
    <w:abstractNumId w:val="2"/>
  </w:num>
  <w:num w:numId="13">
    <w:abstractNumId w:val="3"/>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23"/>
  </w:num>
  <w:num w:numId="19">
    <w:abstractNumId w:val="4"/>
  </w:num>
  <w:num w:numId="20">
    <w:abstractNumId w:val="15"/>
  </w:num>
  <w:num w:numId="21">
    <w:abstractNumId w:val="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721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72140&amp;lt;/CaseID&amp;gt;_x000d__x000a_        &amp;lt;CaseMonth&amp;gt;3&amp;lt;/CaseMonth&amp;gt;_x000d__x000a_        &amp;lt;CaseYear&amp;gt;2021&amp;lt;/CaseYear&amp;gt;_x000d__x000a_        &amp;lt;CaseNumber&amp;gt;22962&amp;lt;/CaseNumber&amp;gt;_x000d__x000a_        &amp;lt;NumeratorGroupID&amp;gt;1&amp;lt;/NumeratorGroupID&amp;gt;_x000d__x000a_        &amp;lt;CaseName&amp;gt;מדינת ישראל נ&amp;#39; טויבי(עציר)&amp;lt;/CaseName&amp;gt;_x000d__x000a_        &amp;lt;CourtID&amp;gt;13&amp;lt;/CourtID&amp;gt;_x000d__x000a_        &amp;lt;CaseTypeID&amp;gt;10077&amp;lt;/CaseTypeID&amp;gt;_x000d__x000a_        &amp;lt;CaseJudgeName&amp;gt;יחיאל ליפשיץ&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2962-03-21&amp;lt;/CaseDisplayIdentifier&amp;gt;_x000d__x000a_        &amp;lt;CaseTypeDesc&amp;gt;תפ&amp;quot;ח&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03-10T11:27: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חיאל&amp;lt;/CaseJudgeFirstName&amp;gt;_x000d__x000a_        &amp;lt;CaseJudgeLastName&amp;gt;ליפשיץ&amp;lt;/CaseJudgeLastName&amp;gt;_x000d__x000a_        &amp;lt;JudicalPersonID&amp;gt;022768311@GOV.IL&amp;lt;/JudicalPersonID&amp;gt;_x000d__x000a_        &amp;lt;IsJudicalPanel&amp;gt;true&amp;lt;/IsJudicalPanel&amp;gt;_x000d__x000a_        &amp;lt;CourtDisplayName&amp;gt;בית המשפט המחוזי בחיפה&amp;lt;/CourtDisplayName&amp;gt;_x000d__x000a_        &amp;lt;IsAllStartDataCollected&amp;gt;true&amp;lt;/IsAllStartDataCollected&amp;gt;_x000d__x000a_        &amp;lt;IsMainCase&amp;gt;false&amp;lt;/IsMainCase&amp;gt;_x000d__x000a_        &amp;lt;CaseDesc&amp;gt;שינויתי את הזימון לתאריך 26.11.23 להיוועדות._x000d__x000a_שלחתי במייל לאבי פנחס ושוחחתי איתו טלפוני._x000d__x000a_אבי התחייב לטפל._x000d__x000a_מושית&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72140&amp;lt;/CaseID&amp;gt;_x000d__x000a_        &amp;lt;CaseMonth&amp;gt;3&amp;lt;/CaseMonth&amp;gt;_x000d__x000a_        &amp;lt;CaseYear&amp;gt;2021&amp;lt;/CaseYear&amp;gt;_x000d__x000a_        &amp;lt;CaseNumber&amp;gt;22962&amp;lt;/CaseNumber&amp;gt;_x000d__x000a_        &amp;lt;NumeratorGroupID&amp;gt;1&amp;lt;/NumeratorGroupID&amp;gt;_x000d__x000a_        &amp;lt;CaseName&amp;gt;מדינת ישראל נ&amp;#39; טויבי(עציר)&amp;lt;/CaseName&amp;gt;_x000d__x000a_        &amp;lt;CourtID&amp;gt;13&amp;lt;/CourtID&amp;gt;_x000d__x000a_        &amp;lt;CaseTypeID&amp;gt;10077&amp;lt;/CaseTypeID&amp;gt;_x000d__x000a_        &amp;lt;CaseJudgeName&amp;gt;יחיאל ליפשיץ&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2962-03-21&amp;lt;/CaseDisplayIdentifier&amp;gt;_x000d__x000a_        &amp;lt;CaseTypeDesc&amp;gt;תפ&amp;quot;ח&amp;lt;/CaseTypeDesc&amp;gt;_x000d__x000a_        &amp;lt;CourtDesc&amp;gt;המחוזי חיפה&amp;lt;/CourtDesc&amp;gt;_x000d__x000a_        &amp;lt;CaseStageDesc&amp;gt;תיק אלקטרוני&amp;lt;/CaseStageDesc&amp;gt;_x000d__x000a_        &amp;lt;CaseNextDeterminingTask&amp;gt;258&amp;lt;/CaseNextDeterminingTask&amp;gt;_x000d__x000a_        &amp;lt;CaseOpenDate&amp;gt;2021-03-10T11:27: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חיאל&amp;lt;/CaseJudgeFirstName&amp;gt;_x000d__x000a_        &amp;lt;CaseJudgeLastName&amp;gt;ליפשיץ&amp;lt;/CaseJudgeLastName&amp;gt;_x000d__x000a_        &amp;lt;JudicalPersonID&amp;gt;022768311@GOV.IL&amp;lt;/JudicalPersonID&amp;gt;_x000d__x000a_        &amp;lt;IsJudicalPanel&amp;gt;true&amp;lt;/IsJudicalPanel&amp;gt;_x000d__x000a_        &amp;lt;CourtDisplayName&amp;gt;בית המשפט המחוזי בחיפה&amp;lt;/CourtDisplayName&amp;gt;_x000d__x000a_        &amp;lt;IsAllStartDataCollected&amp;gt;true&amp;lt;/IsAllStartDataCollected&amp;gt;_x000d__x000a_        &amp;lt;IsMainCase&amp;gt;false&amp;lt;/IsMainCase&amp;gt;_x000d__x000a_        &amp;lt;CaseDesc&amp;gt;שינויתי את הזימון לתאריך 26.11.23 להיוועדות._x000d__x000a_שלחתי במייל לאבי פנחס ושוחחתי איתו טלפוני._x000d__x000a_אבי התחייב לטפל._x000d__x000a_מושית&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15043&amp;lt;/DecisionID&amp;gt;_x000d__x000a_        &amp;lt;DecisionName&amp;gt;הכרעת דין  שניתנה ע&amp;quot;י  יחיאל ליפשיץ&amp;lt;/DecisionName&amp;gt;_x000d__x000a_        &amp;lt;DecisionStatusID&amp;gt;1&amp;lt;/DecisionStatusID&amp;gt;_x000d__x000a_        &amp;lt;DecisionStatusChangeDate&amp;gt;2023-11-01T11:09:33.153+02:00&amp;lt;/DecisionStatusChangeDate&amp;gt;_x000d__x000a_        &amp;lt;DecisionSignatureDate&amp;gt;2023-10-18T21:49:27.987+03:00&amp;lt;/DecisionSignatureDate&amp;gt;_x000d__x000a_        &amp;lt;DecisionSignatureUserID&amp;gt;022768311@GOV.IL&amp;lt;/DecisionSignatureUserID&amp;gt;_x000d__x000a_        &amp;lt;DecisionCreateDate&amp;gt;2023-10-18T21:55:02.23+03:00&amp;lt;/DecisionCreateDate&amp;gt;_x000d__x000a_        &amp;lt;DecisionChangeDate&amp;gt;2023-11-01T11:09:33.24+02:00&amp;lt;/DecisionChangeDate&amp;gt;_x000d__x000a_        &amp;lt;DecisionChangeUserID&amp;gt;02276831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2386992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7683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768311@GOV.IL&amp;lt;/DecisionCreationUserID&amp;gt;_x000d__x000a_        &amp;lt;DecisionDisplayName&amp;gt;הכרעת דין  שניתנה ע&amp;quot;י  יחיאל ליפשיץ&amp;lt;/DecisionDisplayName&amp;gt;_x000d__x000a_        &amp;lt;IsScanned&amp;gt;false&amp;lt;/IsScanned&amp;gt;_x000d__x000a_        &amp;lt;DecisionSignatureUserName&amp;gt;יחיאל ליפשי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47615043&amp;lt;/DecisionID&amp;gt;_x000d__x000a_        &amp;lt;CaseID&amp;gt;78172140&amp;lt;/CaseID&amp;gt;_x000d__x000a_        &amp;lt;IsOriginal&amp;gt;true&amp;lt;/IsOriginal&amp;gt;_x000d__x000a_        &amp;lt;IsDeleted&amp;gt;false&amp;lt;/IsDeleted&amp;gt;_x000d__x000a_        &amp;lt;CaseName&amp;gt;מדינת ישראל נ&amp;#39; טויבי(עציר)&amp;lt;/CaseName&amp;gt;_x000d__x000a_        &amp;lt;CaseDisplayIdentifier&amp;gt;22962-03-21 תפ&amp;quot;ח&amp;lt;/CaseDisplayIdentifier&amp;gt;_x000d__x000a_      &amp;lt;/dt_DecisionCase&amp;gt;_x000d__x000a_      &amp;lt;dt_DecisionJudgePanel diffgr:id=&amp;quot;dt_DecisionJudgePanel1&amp;quot; msdata:rowOrder=&amp;quot;0&amp;quot;&amp;gt;_x000d__x000a_        &amp;lt;DecisionID&amp;gt;147615043&amp;lt;/DecisionID&amp;gt;_x000d__x000a_        &amp;lt;JudgeID&amp;gt;0227683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615043&amp;lt;/DecisionID&amp;gt;_x000d__x000a_        &amp;lt;JudgeID&amp;gt;05722823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615043&amp;lt;/DecisionID&amp;gt;_x000d__x000a_        &amp;lt;JudgeID&amp;gt;057793853@GOV.IL&amp;lt;/JudgeID&amp;gt;_x000d__x000a_        &amp;lt;OrdinalNumber&amp;gt;3&amp;lt;/OrdinalNumber&amp;gt;_x000d__x000a_      &amp;lt;/dt_DecisionJudgePanel&amp;gt;_x000d__x000a_    &amp;lt;/DecisionDS&amp;gt;_x000d__x000a_  &amp;lt;/diffgr:diffgram&amp;gt;_x000d__x000a_&amp;lt;/DecisionDS&amp;gt;"/>
    <w:docVar w:name="DecisionID" w:val="147615043"/>
    <w:docVar w:name="docID" w:val="423869922"/>
    <w:docVar w:name="judgeUPN" w:val="022768311@GOV.IL"/>
    <w:docVar w:name="NGCS.TemplateCaseInterestID" w:val="-1"/>
    <w:docVar w:name="NGCS.TemplateCaseTypeID" w:val="10077"/>
    <w:docVar w:name="NGCS.TemplateCourtID" w:val="13"/>
    <w:docVar w:name="NGCS.TemplateProceedingID" w:val="2"/>
    <w:docVar w:name="noteDocID" w:val="423869922"/>
    <w:docVar w:name="WordClientAssemblyName" w:val="NGCS.Decision.ClientWordBL"/>
    <w:docVar w:name="WordClientClassName" w:val="NGCS.Decision.ClientWordBL.JudgePanelSignDecisionClient"/>
  </w:docVars>
  <w:rsids>
    <w:rsidRoot w:val="00870F64"/>
    <w:rsid w:val="000810FC"/>
    <w:rsid w:val="00097BFF"/>
    <w:rsid w:val="000B757D"/>
    <w:rsid w:val="000D676C"/>
    <w:rsid w:val="000E5776"/>
    <w:rsid w:val="0016006A"/>
    <w:rsid w:val="00186BCB"/>
    <w:rsid w:val="002039F6"/>
    <w:rsid w:val="0020644E"/>
    <w:rsid w:val="0025728F"/>
    <w:rsid w:val="00272CAC"/>
    <w:rsid w:val="002D68F5"/>
    <w:rsid w:val="00305BA5"/>
    <w:rsid w:val="00326D5E"/>
    <w:rsid w:val="00334A35"/>
    <w:rsid w:val="00337463"/>
    <w:rsid w:val="003A027F"/>
    <w:rsid w:val="003C74D6"/>
    <w:rsid w:val="004334DF"/>
    <w:rsid w:val="00456A55"/>
    <w:rsid w:val="004F2B64"/>
    <w:rsid w:val="0051562C"/>
    <w:rsid w:val="0052227C"/>
    <w:rsid w:val="00587C90"/>
    <w:rsid w:val="005C3A98"/>
    <w:rsid w:val="00643CD3"/>
    <w:rsid w:val="0064690D"/>
    <w:rsid w:val="006958A7"/>
    <w:rsid w:val="006F0E62"/>
    <w:rsid w:val="006F6206"/>
    <w:rsid w:val="007B34BE"/>
    <w:rsid w:val="007C40F8"/>
    <w:rsid w:val="007C7991"/>
    <w:rsid w:val="007F2E63"/>
    <w:rsid w:val="00810372"/>
    <w:rsid w:val="00834D17"/>
    <w:rsid w:val="00843239"/>
    <w:rsid w:val="00870F64"/>
    <w:rsid w:val="008D35B7"/>
    <w:rsid w:val="008D38B7"/>
    <w:rsid w:val="00906D9D"/>
    <w:rsid w:val="009074A1"/>
    <w:rsid w:val="009251A2"/>
    <w:rsid w:val="00942F8C"/>
    <w:rsid w:val="009A2654"/>
    <w:rsid w:val="00A27B94"/>
    <w:rsid w:val="00A5454F"/>
    <w:rsid w:val="00AE60C8"/>
    <w:rsid w:val="00B20868"/>
    <w:rsid w:val="00B8098D"/>
    <w:rsid w:val="00B949CB"/>
    <w:rsid w:val="00BB20EF"/>
    <w:rsid w:val="00BF0FEA"/>
    <w:rsid w:val="00C12D2C"/>
    <w:rsid w:val="00C842D3"/>
    <w:rsid w:val="00C863A8"/>
    <w:rsid w:val="00C874BD"/>
    <w:rsid w:val="00CC3C76"/>
    <w:rsid w:val="00D63841"/>
    <w:rsid w:val="00DC081D"/>
    <w:rsid w:val="00E20138"/>
    <w:rsid w:val="00E92233"/>
    <w:rsid w:val="00EA352A"/>
    <w:rsid w:val="00EB19E0"/>
    <w:rsid w:val="00EE1AFA"/>
    <w:rsid w:val="00F4577C"/>
    <w:rsid w:val="00F470DB"/>
    <w:rsid w:val="00F60C9C"/>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rsid w:val="00577A51"/>
    <w:rPr>
      <w:sz w:val="16"/>
      <w:szCs w:val="16"/>
    </w:rPr>
  </w:style>
  <w:style w:type="paragraph" w:styleId="a9">
    <w:name w:val="annotation text"/>
    <w:basedOn w:val="a"/>
    <w:semiHidden/>
    <w:rsid w:val="00577A51"/>
    <w:rPr>
      <w:rFonts w:cs="Times New Roman"/>
    </w:rPr>
  </w:style>
  <w:style w:type="paragraph" w:styleId="aa">
    <w:name w:val="Balloon Text"/>
    <w:basedOn w:val="a"/>
    <w:semiHidden/>
    <w:rsid w:val="00577A51"/>
    <w:rPr>
      <w:rFonts w:ascii="Tahoma" w:hAnsi="Tahoma" w:cs="Tahoma"/>
      <w:sz w:val="16"/>
      <w:szCs w:val="16"/>
    </w:rPr>
  </w:style>
  <w:style w:type="character" w:styleId="ab">
    <w:name w:val="Placeholder Text"/>
    <w:basedOn w:val="a0"/>
    <w:uiPriority w:val="99"/>
    <w:semiHidden/>
    <w:rsid w:val="00AE60C8"/>
    <w:rPr>
      <w:color w:val="808080"/>
    </w:rPr>
  </w:style>
  <w:style w:type="paragraph" w:customStyle="1" w:styleId="12">
    <w:name w:val="רגיל + ‏12 נק'"/>
    <w:aliases w:val="מיושר לשני הצדדים,מרווח בין שורות:  שורה וחצי"/>
    <w:basedOn w:val="a"/>
    <w:rPr>
      <w:rFonts w:ascii="Times New Roman" w:hAnsi="Times New Roman"/>
      <w:b/>
      <w:bCs/>
      <w:u w:val="single"/>
    </w:rPr>
  </w:style>
  <w:style w:type="paragraph" w:styleId="ac">
    <w:name w:val="List Paragraph"/>
    <w:basedOn w:val="a"/>
    <w:link w:val="ad"/>
    <w:uiPriority w:val="34"/>
    <w:qFormat/>
    <w:rsid w:val="00272CAC"/>
    <w:pPr>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a0"/>
    <w:uiPriority w:val="99"/>
    <w:unhideWhenUsed/>
    <w:rsid w:val="00272CAC"/>
    <w:rPr>
      <w:color w:val="0000FF" w:themeColor="hyperlink"/>
      <w:u w:val="single"/>
    </w:rPr>
  </w:style>
  <w:style w:type="paragraph" w:customStyle="1" w:styleId="ae">
    <w:name w:val="כללי"/>
    <w:basedOn w:val="a"/>
    <w:rsid w:val="00272CAC"/>
    <w:pPr>
      <w:overflowPunct w:val="0"/>
      <w:autoSpaceDE w:val="0"/>
      <w:autoSpaceDN w:val="0"/>
      <w:adjustRightInd w:val="0"/>
      <w:spacing w:after="240" w:line="270" w:lineRule="exact"/>
      <w:ind w:firstLine="284"/>
      <w:jc w:val="both"/>
      <w:textAlignment w:val="baseline"/>
    </w:pPr>
    <w:rPr>
      <w:rFonts w:ascii="Times New Roman" w:hAnsi="Times New Roman" w:cs="FrankRuehl"/>
      <w:sz w:val="20"/>
      <w:lang w:eastAsia="he-IL"/>
    </w:rPr>
  </w:style>
  <w:style w:type="paragraph" w:customStyle="1" w:styleId="af">
    <w:name w:val="מספר הליך"/>
    <w:basedOn w:val="ae"/>
    <w:rsid w:val="00272CAC"/>
    <w:pPr>
      <w:jc w:val="right"/>
    </w:pPr>
    <w:rPr>
      <w:szCs w:val="28"/>
    </w:rPr>
  </w:style>
  <w:style w:type="paragraph" w:customStyle="1" w:styleId="Ruller3">
    <w:name w:val="Ruller 3"/>
    <w:basedOn w:val="a"/>
    <w:rsid w:val="00272CAC"/>
    <w:pPr>
      <w:tabs>
        <w:tab w:val="left" w:pos="3210"/>
        <w:tab w:val="left" w:pos="6753"/>
      </w:tabs>
      <w:overflowPunct w:val="0"/>
      <w:autoSpaceDE w:val="0"/>
      <w:autoSpaceDN w:val="0"/>
      <w:adjustRightInd w:val="0"/>
      <w:spacing w:line="360" w:lineRule="auto"/>
      <w:textAlignment w:val="baseline"/>
    </w:pPr>
    <w:rPr>
      <w:rFonts w:ascii="Times New Roman" w:hAnsi="Times New Roman" w:cs="FrankRuehl"/>
      <w:spacing w:val="10"/>
      <w:sz w:val="22"/>
      <w:szCs w:val="28"/>
    </w:rPr>
  </w:style>
  <w:style w:type="paragraph" w:customStyle="1" w:styleId="FileNumber">
    <w:name w:val="File Number"/>
    <w:basedOn w:val="a"/>
    <w:rsid w:val="00272CAC"/>
    <w:pPr>
      <w:overflowPunct w:val="0"/>
      <w:autoSpaceDE w:val="0"/>
      <w:autoSpaceDN w:val="0"/>
      <w:adjustRightInd w:val="0"/>
      <w:spacing w:line="360" w:lineRule="auto"/>
      <w:jc w:val="right"/>
      <w:textAlignment w:val="baseline"/>
    </w:pPr>
    <w:rPr>
      <w:rFonts w:ascii="Times New Roman" w:hAnsi="Times New Roman"/>
      <w:bCs/>
      <w:sz w:val="20"/>
    </w:rPr>
  </w:style>
  <w:style w:type="paragraph" w:customStyle="1" w:styleId="DocumentHead">
    <w:name w:val="Document Head"/>
    <w:basedOn w:val="a"/>
    <w:rsid w:val="00272CAC"/>
    <w:pPr>
      <w:overflowPunct w:val="0"/>
      <w:autoSpaceDE w:val="0"/>
      <w:autoSpaceDN w:val="0"/>
      <w:adjustRightInd w:val="0"/>
      <w:spacing w:line="360" w:lineRule="auto"/>
      <w:jc w:val="center"/>
      <w:textAlignment w:val="baseline"/>
    </w:pPr>
    <w:rPr>
      <w:rFonts w:ascii="Times New Roman" w:hAnsi="Times New Roman"/>
      <w:bCs/>
      <w:spacing w:val="30"/>
      <w:sz w:val="20"/>
      <w:szCs w:val="28"/>
      <w:u w:val="single"/>
    </w:rPr>
  </w:style>
  <w:style w:type="paragraph" w:customStyle="1" w:styleId="Ruller40">
    <w:name w:val="Ruller4"/>
    <w:basedOn w:val="a"/>
    <w:link w:val="Ruller41"/>
    <w:rsid w:val="00272CAC"/>
    <w:pPr>
      <w:tabs>
        <w:tab w:val="left" w:pos="800"/>
      </w:tabs>
      <w:overflowPunct w:val="0"/>
      <w:autoSpaceDE w:val="0"/>
      <w:autoSpaceDN w:val="0"/>
      <w:adjustRightInd w:val="0"/>
      <w:spacing w:line="360" w:lineRule="auto"/>
      <w:jc w:val="both"/>
      <w:textAlignment w:val="baseline"/>
    </w:pPr>
    <w:rPr>
      <w:rFonts w:ascii="Arial TUR" w:hAnsi="Arial TUR" w:cs="FrankRuehl"/>
      <w:spacing w:val="10"/>
      <w:sz w:val="22"/>
      <w:szCs w:val="28"/>
    </w:rPr>
  </w:style>
  <w:style w:type="paragraph" w:customStyle="1" w:styleId="BodyRuller">
    <w:name w:val="Body Ruller"/>
    <w:basedOn w:val="a"/>
    <w:rsid w:val="00272CAC"/>
    <w:pPr>
      <w:overflowPunct w:val="0"/>
      <w:autoSpaceDE w:val="0"/>
      <w:autoSpaceDN w:val="0"/>
      <w:adjustRightInd w:val="0"/>
      <w:textAlignment w:val="baseline"/>
    </w:pPr>
    <w:rPr>
      <w:rFonts w:ascii="Times New Roman" w:hAnsi="Times New Roman"/>
      <w:sz w:val="22"/>
      <w:szCs w:val="28"/>
    </w:rPr>
  </w:style>
  <w:style w:type="paragraph" w:customStyle="1" w:styleId="FileNumber0">
    <w:name w:val="סגנון File Number + ימין"/>
    <w:basedOn w:val="FileNumber"/>
    <w:rsid w:val="00272CAC"/>
    <w:pPr>
      <w:jc w:val="left"/>
    </w:pPr>
    <w:rPr>
      <w:szCs w:val="28"/>
    </w:rPr>
  </w:style>
  <w:style w:type="paragraph" w:customStyle="1" w:styleId="BODYVERDICT">
    <w:name w:val="BODY VERDICT"/>
    <w:basedOn w:val="a"/>
    <w:rsid w:val="00272CAC"/>
    <w:pPr>
      <w:overflowPunct w:val="0"/>
      <w:autoSpaceDE w:val="0"/>
      <w:autoSpaceDN w:val="0"/>
      <w:adjustRightInd w:val="0"/>
      <w:textAlignment w:val="baseline"/>
    </w:pPr>
    <w:rPr>
      <w:rFonts w:ascii="Times New Roman" w:hAnsi="Times New Roman" w:cs="FrankRuehl"/>
      <w:spacing w:val="10"/>
      <w:sz w:val="22"/>
      <w:szCs w:val="28"/>
    </w:rPr>
  </w:style>
  <w:style w:type="character" w:customStyle="1" w:styleId="Ruller41">
    <w:name w:val="Ruller4 תו"/>
    <w:basedOn w:val="a0"/>
    <w:link w:val="Ruller40"/>
    <w:rsid w:val="00272CAC"/>
    <w:rPr>
      <w:rFonts w:ascii="Arial TUR" w:hAnsi="Arial TUR" w:cs="FrankRuehl"/>
      <w:spacing w:val="10"/>
      <w:sz w:val="22"/>
      <w:szCs w:val="28"/>
    </w:rPr>
  </w:style>
  <w:style w:type="paragraph" w:customStyle="1" w:styleId="1">
    <w:name w:val="פיסקת רשימה1"/>
    <w:basedOn w:val="a"/>
    <w:link w:val="ListParagraphChar"/>
    <w:uiPriority w:val="34"/>
    <w:qFormat/>
    <w:rsid w:val="00272CAC"/>
    <w:pPr>
      <w:spacing w:before="240" w:line="360" w:lineRule="auto"/>
      <w:ind w:left="720"/>
      <w:jc w:val="both"/>
    </w:pPr>
    <w:rPr>
      <w:rFonts w:ascii="Times New Roman" w:hAnsi="Times New Roman"/>
      <w:sz w:val="28"/>
      <w:szCs w:val="28"/>
    </w:rPr>
  </w:style>
  <w:style w:type="character" w:customStyle="1" w:styleId="ListParagraphChar">
    <w:name w:val="List Paragraph Char"/>
    <w:link w:val="1"/>
    <w:uiPriority w:val="34"/>
    <w:rsid w:val="00272CAC"/>
    <w:rPr>
      <w:rFonts w:cs="David"/>
      <w:sz w:val="28"/>
      <w:szCs w:val="28"/>
    </w:rPr>
  </w:style>
  <w:style w:type="paragraph" w:styleId="af0">
    <w:name w:val="Body Text"/>
    <w:basedOn w:val="a"/>
    <w:link w:val="af1"/>
    <w:rsid w:val="00272CAC"/>
    <w:pPr>
      <w:spacing w:line="360" w:lineRule="auto"/>
      <w:jc w:val="both"/>
    </w:pPr>
    <w:rPr>
      <w:rFonts w:ascii="Times New Roman" w:hAnsi="Times New Roman"/>
      <w:sz w:val="20"/>
      <w:szCs w:val="28"/>
    </w:rPr>
  </w:style>
  <w:style w:type="character" w:customStyle="1" w:styleId="af1">
    <w:name w:val="גוף טקסט תו"/>
    <w:basedOn w:val="a0"/>
    <w:link w:val="af0"/>
    <w:rsid w:val="00272CAC"/>
    <w:rPr>
      <w:rFonts w:cs="David"/>
      <w:szCs w:val="28"/>
    </w:rPr>
  </w:style>
  <w:style w:type="character" w:customStyle="1" w:styleId="ad">
    <w:name w:val="פיסקת רשימה תו"/>
    <w:basedOn w:val="a0"/>
    <w:link w:val="ac"/>
    <w:uiPriority w:val="34"/>
    <w:locked/>
    <w:rsid w:val="00272CAC"/>
    <w:rPr>
      <w:rFonts w:asciiTheme="minorHAnsi" w:eastAsiaTheme="minorHAnsi" w:hAnsiTheme="minorHAnsi" w:cstheme="minorBidi"/>
      <w:sz w:val="22"/>
      <w:szCs w:val="22"/>
    </w:rPr>
  </w:style>
  <w:style w:type="character" w:customStyle="1" w:styleId="default">
    <w:name w:val="default"/>
    <w:rsid w:val="00272CAC"/>
    <w:rPr>
      <w:rFonts w:ascii="Times New Roman" w:hAnsi="Times New Roman" w:cs="Times New Roman"/>
      <w:sz w:val="26"/>
      <w:szCs w:val="26"/>
    </w:rPr>
  </w:style>
  <w:style w:type="paragraph" w:customStyle="1" w:styleId="P00">
    <w:name w:val="P00"/>
    <w:link w:val="P000"/>
    <w:rsid w:val="00272CAC"/>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P000">
    <w:name w:val="P00 תו"/>
    <w:link w:val="P00"/>
    <w:rsid w:val="00272CAC"/>
    <w:rPr>
      <w:noProof/>
      <w:szCs w:val="26"/>
      <w:lang w:eastAsia="he-IL"/>
    </w:rPr>
  </w:style>
  <w:style w:type="paragraph" w:customStyle="1" w:styleId="2">
    <w:name w:val="פיסקת רשימה2"/>
    <w:basedOn w:val="a"/>
    <w:qFormat/>
    <w:rsid w:val="00272CAC"/>
    <w:pPr>
      <w:spacing w:after="160" w:line="256" w:lineRule="auto"/>
      <w:ind w:left="720"/>
      <w:contextualSpacing/>
    </w:pPr>
    <w:rPr>
      <w:rFonts w:ascii="Calibri" w:hAnsi="Calibri" w:cs="Arial"/>
      <w:sz w:val="22"/>
      <w:szCs w:val="22"/>
    </w:rPr>
  </w:style>
  <w:style w:type="character" w:customStyle="1" w:styleId="a4">
    <w:name w:val="כותרת עליונה תו"/>
    <w:basedOn w:val="a0"/>
    <w:link w:val="a3"/>
    <w:uiPriority w:val="99"/>
    <w:rsid w:val="00272CAC"/>
    <w:rPr>
      <w:rFonts w:ascii="Arial (W1)" w:hAnsi="Arial (W1)" w:cs="David"/>
      <w:sz w:val="24"/>
      <w:szCs w:val="24"/>
    </w:rPr>
  </w:style>
  <w:style w:type="character" w:customStyle="1" w:styleId="a6">
    <w:name w:val="כותרת תחתונה תו"/>
    <w:basedOn w:val="a0"/>
    <w:link w:val="a5"/>
    <w:uiPriority w:val="99"/>
    <w:rsid w:val="00272CAC"/>
    <w:rPr>
      <w:rFonts w:ascii="Arial (W1)" w:hAnsi="Arial (W1)" w:cs="David"/>
      <w:sz w:val="24"/>
      <w:szCs w:val="24"/>
    </w:rPr>
  </w:style>
  <w:style w:type="paragraph" w:styleId="af2">
    <w:name w:val="Title"/>
    <w:basedOn w:val="a"/>
    <w:next w:val="a"/>
    <w:link w:val="af3"/>
    <w:qFormat/>
    <w:rsid w:val="00272CAC"/>
    <w:pPr>
      <w:contextualSpacing/>
    </w:pPr>
    <w:rPr>
      <w:rFonts w:asciiTheme="majorHAnsi" w:eastAsiaTheme="majorEastAsia" w:hAnsiTheme="majorHAnsi" w:cstheme="majorBidi"/>
      <w:spacing w:val="-10"/>
      <w:kern w:val="28"/>
      <w:sz w:val="56"/>
      <w:szCs w:val="56"/>
    </w:rPr>
  </w:style>
  <w:style w:type="character" w:customStyle="1" w:styleId="af3">
    <w:name w:val="כותרת טקסט תו"/>
    <w:basedOn w:val="a0"/>
    <w:link w:val="af2"/>
    <w:rsid w:val="00272CAC"/>
    <w:rPr>
      <w:rFonts w:asciiTheme="majorHAnsi" w:eastAsiaTheme="majorEastAsia" w:hAnsiTheme="majorHAnsi" w:cstheme="majorBidi"/>
      <w:spacing w:val="-10"/>
      <w:kern w:val="28"/>
      <w:sz w:val="56"/>
      <w:szCs w:val="56"/>
    </w:rPr>
  </w:style>
  <w:style w:type="paragraph" w:customStyle="1" w:styleId="Ruller5">
    <w:name w:val="Ruller5"/>
    <w:basedOn w:val="a"/>
    <w:rsid w:val="00272CAC"/>
    <w:pPr>
      <w:overflowPunct w:val="0"/>
      <w:autoSpaceDE w:val="0"/>
      <w:autoSpaceDN w:val="0"/>
      <w:adjustRightInd w:val="0"/>
      <w:ind w:left="1642" w:right="1282"/>
      <w:jc w:val="both"/>
      <w:textAlignment w:val="baseline"/>
    </w:pPr>
    <w:rPr>
      <w:rFonts w:ascii="Arial TUR" w:hAnsi="Arial TUR" w:cs="FrankRuehl"/>
      <w:spacing w:val="10"/>
      <w:sz w:val="22"/>
      <w:szCs w:val="28"/>
    </w:rPr>
  </w:style>
  <w:style w:type="paragraph" w:customStyle="1" w:styleId="Ruller4">
    <w:name w:val="Ruller 4 ממוספר"/>
    <w:basedOn w:val="Ruller40"/>
    <w:next w:val="Ruller40"/>
    <w:link w:val="Ruller42"/>
    <w:qFormat/>
    <w:rsid w:val="00272CAC"/>
    <w:pPr>
      <w:numPr>
        <w:numId w:val="25"/>
      </w:numPr>
    </w:pPr>
    <w:rPr>
      <w:rFonts w:ascii="Garamond" w:hAnsi="Garamond"/>
      <w:sz w:val="24"/>
    </w:rPr>
  </w:style>
  <w:style w:type="character" w:customStyle="1" w:styleId="Ruller42">
    <w:name w:val="Ruller 4 ממוספר תו"/>
    <w:link w:val="Ruller4"/>
    <w:locked/>
    <w:rsid w:val="00272CAC"/>
    <w:rPr>
      <w:rFonts w:ascii="Garamond" w:hAnsi="Garamond" w:cs="FrankRuehl"/>
      <w:spacing w:val="1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470950955">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402675351">
      <w:bodyDiv w:val="1"/>
      <w:marLeft w:val="0"/>
      <w:marRight w:val="0"/>
      <w:marTop w:val="0"/>
      <w:marBottom w:val="0"/>
      <w:divBdr>
        <w:top w:val="none" w:sz="0" w:space="0" w:color="auto"/>
        <w:left w:val="none" w:sz="0" w:space="0" w:color="auto"/>
        <w:bottom w:val="none" w:sz="0" w:space="0" w:color="auto"/>
        <w:right w:val="none" w:sz="0" w:space="0" w:color="auto"/>
      </w:divBdr>
    </w:div>
    <w:div w:id="143864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safrut/book/5551" TargetMode="External"/><Relationship Id="rId18" Type="http://schemas.openxmlformats.org/officeDocument/2006/relationships/image" Target="media/image1.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nevo.co.il/psika_html/elyon/20072290-J07.htm" TargetMode="External"/><Relationship Id="rId17" Type="http://schemas.openxmlformats.org/officeDocument/2006/relationships/hyperlink" Target="http://www.nevo.co.il/links/psika/?link=&#1506;&#1508;%20150/88&amp;Pvol=&#1502;&#1489;"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nevo.co.il/law/70301" TargetMode="External"/><Relationship Id="rId20" Type="http://schemas.openxmlformats.org/officeDocument/2006/relationships/hyperlink" Target="http://www.nevo.co.il/case/6144887"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_word/law15/memshala-972.pdf"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law/70301/34ka" TargetMode="External"/><Relationship Id="rId23" Type="http://schemas.openxmlformats.org/officeDocument/2006/relationships/image" Target="media/image4.tiff"/><Relationship Id="rId28" Type="http://schemas.openxmlformats.org/officeDocument/2006/relationships/header" Target="header3.xml"/><Relationship Id="rId10" Type="http://schemas.openxmlformats.org/officeDocument/2006/relationships/hyperlink" Target="http://www.nevo.co.il/Law_word/law14/law-2779.pdf" TargetMode="External"/><Relationship Id="rId19" Type="http://schemas.openxmlformats.org/officeDocument/2006/relationships/hyperlink" Target="http://www.nevo.co.il/case/5821172" TargetMode="Externa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case/5753172" TargetMode="External"/><Relationship Id="rId14" Type="http://schemas.openxmlformats.org/officeDocument/2006/relationships/hyperlink" Target="https://www.nevo.co.il/psika_word/elyon/21014640-J08.doc" TargetMode="External"/><Relationship Id="rId22" Type="http://schemas.openxmlformats.org/officeDocument/2006/relationships/image" Target="media/image3.png"/><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AC9490C5FE43E6B38C30C307257C1E"/>
        <w:category>
          <w:name w:val="כללי"/>
          <w:gallery w:val="placeholder"/>
        </w:category>
        <w:types>
          <w:type w:val="bbPlcHdr"/>
        </w:types>
        <w:behaviors>
          <w:behavior w:val="content"/>
        </w:behaviors>
        <w:guid w:val="{5F920B1E-3738-4048-9437-3CEE65A87057}"/>
      </w:docPartPr>
      <w:docPartBody>
        <w:p w:rsidR="00012891" w:rsidRDefault="00B33786" w:rsidP="00B33786">
          <w:pPr>
            <w:pStyle w:val="5A947A4CD3794C1787DFBDB7708A00786"/>
          </w:pPr>
          <w:r>
            <w:rPr>
              <w:rFonts w:hint="cs"/>
              <w:rtl/>
            </w:rPr>
            <w:t xml:space="preserve">    </w:t>
          </w:r>
        </w:p>
      </w:docPartBody>
    </w:docPart>
    <w:docPart>
      <w:docPartPr>
        <w:name w:val="D11122A976414DE99A47A0E01E44AA1A"/>
        <w:category>
          <w:name w:val="כללי"/>
          <w:gallery w:val="placeholder"/>
        </w:category>
        <w:types>
          <w:type w:val="bbPlcHdr"/>
        </w:types>
        <w:behaviors>
          <w:behavior w:val="content"/>
        </w:behaviors>
        <w:guid w:val="{6E90713B-15E8-4220-8F91-A7B1864B457D}"/>
      </w:docPartPr>
      <w:docPartBody>
        <w:p w:rsidR="000F3881" w:rsidRDefault="00CD3276">
          <w:pPr>
            <w:pStyle w:val="E6AC9490C5FE43E6B38C30C307257C1E"/>
          </w:pPr>
          <w:r>
            <w:rPr>
              <w:rStyle w:val="a3"/>
              <w:rtl/>
            </w:rPr>
            <w:t>לחץ כאן להזנת טקסט</w:t>
          </w:r>
          <w:r>
            <w:rPr>
              <w:rStyle w:val="a3"/>
            </w:rPr>
            <w:t>.</w:t>
          </w:r>
        </w:p>
      </w:docPartBody>
    </w:docPart>
    <w:docPart>
      <w:docPartPr>
        <w:name w:val="038DD294A631466D8E4B78B82EA4F67F"/>
        <w:category>
          <w:name w:val="כללי"/>
          <w:gallery w:val="placeholder"/>
        </w:category>
        <w:types>
          <w:type w:val="bbPlcHdr"/>
        </w:types>
        <w:behaviors>
          <w:behavior w:val="content"/>
        </w:behaviors>
        <w:guid w:val="{EEA7F679-D56A-4CA7-93B0-657FCE803D50}"/>
      </w:docPartPr>
      <w:docPartBody>
        <w:p w:rsidR="000F3881" w:rsidRDefault="00CD3276">
          <w:pPr>
            <w:pStyle w:val="D11122A976414DE99A47A0E01E44AA1A"/>
          </w:pPr>
          <w:r>
            <w:rPr>
              <w:b/>
              <w:bCs/>
              <w:sz w:val="26"/>
              <w:szCs w:val="26"/>
              <w:rtl/>
            </w:rPr>
            <w:t>מעמד/כינוי צד ג</w:t>
          </w:r>
        </w:p>
      </w:docPartBody>
    </w:docPart>
    <w:docPart>
      <w:docPartPr>
        <w:name w:val="E5C51891AD0044A2A8786BE412E6CC5A"/>
        <w:category>
          <w:name w:val="כללי"/>
          <w:gallery w:val="placeholder"/>
        </w:category>
        <w:types>
          <w:type w:val="bbPlcHdr"/>
        </w:types>
        <w:behaviors>
          <w:behavior w:val="content"/>
        </w:behaviors>
        <w:guid w:val="{36EE28A9-4A9B-4AF2-A996-9C3B4517BB14}"/>
      </w:docPartPr>
      <w:docPartBody>
        <w:p w:rsidR="000F3881" w:rsidRDefault="00CD3276">
          <w:pPr>
            <w:pStyle w:val="038DD294A631466D8E4B78B82EA4F67F"/>
          </w:pPr>
          <w:r>
            <w:rPr>
              <w:b/>
              <w:bCs/>
              <w:sz w:val="26"/>
              <w:szCs w:val="26"/>
              <w:rtl/>
            </w:rPr>
            <w:t>שם פרטי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0F3881"/>
    <w:rsid w:val="00303435"/>
    <w:rsid w:val="0041073D"/>
    <w:rsid w:val="006E0C75"/>
    <w:rsid w:val="006F21A2"/>
    <w:rsid w:val="00845549"/>
    <w:rsid w:val="00AC6BCB"/>
    <w:rsid w:val="00B33786"/>
    <w:rsid w:val="00C97C5C"/>
    <w:rsid w:val="00CD3276"/>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3276"/>
    <w:rPr>
      <w:color w:val="808080"/>
    </w:rPr>
  </w:style>
  <w:style w:type="paragraph" w:customStyle="1" w:styleId="E6AC9490C5FE43E6B38C30C307257C1E">
    <w:name w:val="E6AC9490C5FE43E6B38C30C307257C1E"/>
    <w:pPr>
      <w:bidi/>
    </w:pPr>
  </w:style>
  <w:style w:type="paragraph" w:customStyle="1" w:styleId="D11122A976414DE99A47A0E01E44AA1A">
    <w:name w:val="D11122A976414DE99A47A0E01E44AA1A"/>
    <w:pPr>
      <w:bidi/>
    </w:pPr>
  </w:style>
  <w:style w:type="paragraph" w:customStyle="1" w:styleId="038DD294A631466D8E4B78B82EA4F67F">
    <w:name w:val="038DD294A631466D8E4B78B82EA4F67F"/>
    <w:pPr>
      <w:bidi/>
    </w:pPr>
  </w:style>
  <w:style w:type="paragraph" w:customStyle="1" w:styleId="E5C51891AD0044A2A8786BE412E6CC5A">
    <w:name w:val="E5C51891AD0044A2A8786BE412E6CC5A"/>
    <w:pPr>
      <w:bidi/>
    </w:p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CD3276"/>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דיאנה שומסקי שגיא</FullName>
        <FirstName>דיאנה</FirstName>
        <LastName>שומסקי שגיא</LastName>
        <PartyPropertyName/>
        <AuthenticationTypeAndNumber>מ.ר. 50942</AuthenticationTypeAndNumber>
        <RepresentatedOrRepresentativesNames>ג'ריס ג'ריס</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245748239</CasePartyID>
        <PartyTypeID>2</PartyTypeID>
        <ActivityStatusID>1</ActivityStatusID>
        <PartyAliasID>22</PartyAliasID>
        <PartyAliasName>בא כוח מבקשים</PartyAliasName>
        <LegalEntityID>15873483</LegalEntityID>
        <CaseLegalEntityID>121282157</CaseLegalEntityID>
        <AuthenticationTypeID>4</AuthenticationTypeID>
        <AuthenticationTypeName>מ.ר.</AuthenticationTypeName>
        <LegalEntityNumber>50942</LegalEntityNumber>
        <IsMainPartyType>true</IsMainPartyType>
        <CaseDisplayIdentifier>22962-03-21</CaseDisplayIdentifier>
        <CaseTypeID>10077</CaseTypeID>
        <CaseTypeName>תיק פשעים חמורים (תפ"ח)</CaseTypeName>
        <CaseName>מדינת ישראל נ' טויבי(עציר)</CaseName>
        <FullAddress>הרכבת 58 תל אביב -יפו מגדל אלקטרה סיטי</FullAddress>
        <EmailAddress>moshe@alon-law.co.il</EmailAddress>
        <MotionID>0</MotionID>
        <CasePleaID>0</CasePleaID>
        <LinkedCaseID>0</LinkedCaseID>
        <CasePartyCategoryID>2</CasePartyCategoryID>
        <LegalEntityAddressID>85445990</LegalEntityAddressID>
        <LegalEntityEmailAddressID>67936118</LegalEntityEmailAddressID>
        <PleaTypeID>8</PleaTypeID>
        <LawyerOfficeName>משרד עו"ד משה אלון ושות'</LawyerOfficeName>
        <LawyerOfficeID>20929234</LawyerOfficeID>
        <GroupPartyAlias/>
        <IsConverted>false</IsConverted>
        <LegalEntityNameID>17520580</LegalEntityNameID>
        <RepresentatedNamesOfAssistant/>
        <LegalEntityTypeID>4</LegalEntityTypeID>
        <IsVerdictExists>false</IsVerdictExists>
        <IsAsirAzir>false</IsAsirAzir>
        <IsPublicationProhibited>false</IsPublicationProhibited>
        <PublicationProhibitedFullName>דיאנה שומסקי שגיא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תמר אולמן גרינשפון</FullName>
        <FirstName>תמר</FirstName>
        <LastName>אולמן גרינשפון</LastName>
        <PartyPropertyName/>
        <AuthenticationTypeAndNumber>מ.ר. 10267</AuthenticationTypeAndNumber>
        <RepresentatedOrRepresentativesNames>אפיק טויבי</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223904147</CasePartyID>
        <PartyTypeID>2</PartyTypeID>
        <ActivityStatusID>1</ActivityStatusID>
        <PartyAliasID>32</PartyAliasID>
        <PartyAliasName>בא כוח נאשמים</PartyAliasName>
        <LegalEntityID>394763</LegalEntityID>
        <CaseLegalEntityID>114547955</CaseLegalEntityID>
        <AuthenticationTypeID>4</AuthenticationTypeID>
        <AuthenticationTypeName>מ.ר.</AuthenticationTypeName>
        <LegalEntityNumber>10267</LegalEntityNumber>
        <IsMainPartyType>true</IsMainPartyType>
        <CaseDisplayIdentifier>22962-03-21</CaseDisplayIdentifier>
        <CaseTypeID>10077</CaseTypeID>
        <CaseTypeName>תיק פשעים חמורים (תפ"ח)</CaseTypeName>
        <CaseName>מדינת ישראל נ' טויבי(עציר)</CaseName>
        <FullAddress>שד' פל ים 2 חיפה בניין אשל</FullAddress>
        <EmailAddress>ulmantami@gmail.com</EmailAddress>
        <MotionID>0</MotionID>
        <CasePleaID>0</CasePleaID>
        <LinkedCaseID>0</LinkedCaseID>
        <PartyID>2</PartyID>
        <CasePartyCategoryID>2</CasePartyCategoryID>
        <LegalEntityAddressID>82480677</LegalEntityAddressID>
        <LegalEntityEmailAddressID>67959524</LegalEntityEmailAddressID>
        <PleaTypeID>8</PleaTypeID>
        <LawyerOfficeName>משרד עו"ד: תמר אולמן גרינשפון</LawyerOfficeName>
        <LawyerOfficeID>435407</LawyerOfficeID>
        <GroupPartyAlias/>
        <IsConverted>false</IsConverted>
        <LegalEntityNameID>15747</LegalEntityNameID>
        <RepresentatedNamesOfAssistant/>
        <LegalEntityTypeID>4</LegalEntityTypeID>
        <IsVerdictExists>false</IsVerdictExists>
        <IsAsirAzir>false</IsAsirAzir>
        <IsPublicationProhibited>false</IsPublicationProhibited>
        <PublicationProhibitedFullName>תמר אולמן גרינשפון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קרן בר מנחם</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223894803</CasePartyID>
        <PartyTypeID>1</PartyTypeID>
        <ActivityStatusID>1</ActivityStatusID>
        <PartyAliasID>11</PartyAliasID>
        <PartyAliasName>מאשימה</PartyAliasName>
        <OrdinalNumber>1</OrdinalNumber>
        <LegalEntityID>4</LegalEntityID>
        <CaseLegalEntityID>114545310</CaseLegalEntityID>
        <AuthenticationTypeID>41</AuthenticationTypeID>
        <AuthenticationTypeName>מדינת ישראל </AuthenticationTypeName>
        <LegalEntityNumber/>
        <IsMainPartyType>true</IsMainPartyType>
        <CaseDisplayIdentifier>22962-03-21</CaseDisplayIdentifier>
        <CaseTypeID>10077</CaseTypeID>
        <CaseTypeName>תיק פשעים חמורים (תפ"ח)</CaseTypeName>
        <CaseName>מדינת ישראל נ' טויבי(עציר)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קרן בר מנחם</FullName>
        <FirstName>קרן</FirstName>
        <LastName>בר מנחם</LastName>
        <PartyPropertyName/>
        <AuthenticationTypeAndNumber>מ.ר. 23302</AuthenticationTypeAndNumber>
        <RepresentatedOrRepresentativesNames xml:space="preserve"> </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223894804</CasePartyID>
        <PartyTypeID>2</PartyTypeID>
        <ActivityStatusID>1</ActivityStatusID>
        <PartyAliasID>30</PartyAliasID>
        <PartyAliasName>בא כוח מאשימה</PartyAliasName>
        <OrdinalNumber>1</OrdinalNumber>
        <LegalEntityID>401487</LegalEntityID>
        <CaseLegalEntityID>114545311</CaseLegalEntityID>
        <AuthenticationTypeID>4</AuthenticationTypeID>
        <AuthenticationTypeName>מ.ר.</AuthenticationTypeName>
        <LegalEntityNumber>23302</LegalEntityNumber>
        <IsMainPartyType>true</IsMainPartyType>
        <CaseDisplayIdentifier>22962-03-21</CaseDisplayIdentifier>
        <CaseTypeID>10077</CaseTypeID>
        <CaseTypeName>תיק פשעים חמורים (תפ"ח)</CaseTypeName>
        <CaseName>מדינת ישראל נ' טויבי(עציר)</CaseName>
        <FullAddress>הרטום  8 ירושלים בניין בק למדע</FullAddress>
        <MotionID>0</MotionID>
        <CasePleaID>0</CasePleaID>
        <FatherName xml:space="preserve">        </FatherName>
        <LinkedCaseID>0</LinkedCaseID>
        <PartyID>1</PartyID>
        <CasePartyCategoryID>2</CasePartyCategoryID>
        <LegalEntityAddressID>71022138</LegalEntityAddressID>
        <PleaTypeID>8</PleaTypeID>
        <LawyerOfficeName>מח"ש - המחלקה לחקירות שוטרים</LawyerOfficeName>
        <LawyerOfficeID>419583</LawyerOfficeID>
        <GroupPartyAlias/>
        <IsConverted>false</IsConverted>
        <LegalEntityNameID>22471</LegalEntityNameID>
        <RepresentatedNamesOfAssistant/>
        <LegalEntityTypeID>4</LegalEntityTypeID>
        <IsVerdictExists>false</IsVerdictExists>
        <IsAsirAzir>false</IsAsirAzir>
        <IsPublicationProhibited>false</IsPublicationProhibited>
        <PublicationProhibitedFullName>קרן בר מנחם</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אפיק טויבי (עציר)</FullName>
        <FirstName>אפיק</FirstName>
        <LastName>טויבי</LastName>
        <PartyPropertyID>6</PartyPropertyID>
        <PartyPropertyName/>
        <AuthenticationTypeAndNumber>ת"ז 212188981</AuthenticationTypeAndNumber>
        <RepresentatedOrRepresentativesNames>תמר אולמן גרינשפון</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223894805</CasePartyID>
        <PartyTypeID>1</PartyTypeID>
        <ActivityStatusID>1</ActivityStatusID>
        <PartyAliasID>13</PartyAliasID>
        <PartyAliasName>נאשם</PartyAliasName>
        <OrdinalNumber>1</OrdinalNumber>
        <LegalEntityID>73744433</LegalEntityID>
        <CaseLegalEntityID>114545312</CaseLegalEntityID>
        <AuthenticationTypeID>1</AuthenticationTypeID>
        <AuthenticationTypeName>ת"ז</AuthenticationTypeName>
        <LegalEntityNumber>212188981</LegalEntityNumber>
        <IsMainPartyType>true</IsMainPartyType>
        <CaseDisplayIdentifier>22962-03-21</CaseDisplayIdentifier>
        <CaseTypeID>10077</CaseTypeID>
        <CaseTypeName>תיק פשעים חמורים (תפ"ח)</CaseTypeName>
        <CaseName>מדינת ישראל נ' טויבי(עציר)</CaseName>
        <FullAddress>כרמל 11/5 נוף הגליל </FullAddress>
        <MotionID>0</MotionID>
        <CasePleaID>0</CasePleaID>
        <BirthDate>2001-01-14T11:29:35+02:00</BirthDate>
        <FatherName>משה</FatherName>
        <LinkedCaseID>0</LinkedCaseID>
        <PartyID>2</PartyID>
        <CasePartyCategoryID>2</CasePartyCategoryID>
        <LegalEntityAddressID>84957744</LegalEntityAddressID>
        <PleaTypeID>8</PleaTypeID>
        <GroupPartyAlias>נאשמים</GroupPartyAlias>
        <IsConverted>false</IsConverted>
        <LegalEntityRegisteredNameID>9426677</LegalEntityRegisteredNameID>
        <LegalEntityNameID>91071794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אפיק טויבי (עציר)</PublicationProhibitedFullName>
      </CaseParties>
    </CasePartiesSelectionDS>
    <DecisionName>הכרעת דין  שניתנה ע"י  יחיאל ליפשיץ</DecisionName>
    <CourtDisplayName>בית המשפט המחוזי בחיפה</CourtDisplayName>
    <IsCaseJudgePanel>true</IsCaseJudgePanel>
    <DecisionSignatureDate>2023-10-18T21:49:27.9883123+03:00</DecisionSignatureDate>
    <OpenCaseDate>2021-03-10T11:27:00+02:00</OpenCaseDate>
    <ExternalCaseNumber>תיק מח"ש 1038/21</ExternalCaseNumber>
    <DecisionTypeID>3</DecisionTypeID>
    <DecisionSignatureUserName>יחיאל ליפשיץ</DecisionSignatureUserName>
    <DecisionSignatureDateHebrew>2023-10-18T21:49:27.9883123+03:00</DecisionSignatureDateHebrew>
    <DecisionWriterID>022768311@GOV.IL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מדינת ישראל נ' טויבי(עציר)</CaseName>
    <DecisionNumberInCase>20</DecisionNumberInCase>
  </dt_Decision>
  <dt_DecisionCase>
    <DecisionID>0</DecisionID>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דיאנה שומסקי שגיא</FullName>
        <FirstName>דיאנה</FirstName>
        <LastName>שומסקי שגיא</LastName>
        <PartyPropertyName/>
        <AuthenticationTypeAndNumber>מ.ר. 50942</AuthenticationTypeAndNumber>
        <RepresentatedOrRepresentativesNames>ג'ריס ג'ריס</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245748239</CasePartyID>
        <PartyTypeID>2</PartyTypeID>
        <ActivityStatusID>1</ActivityStatusID>
        <PartyAliasID>22</PartyAliasID>
        <PartyAliasName>בא כוח מבקשים</PartyAliasName>
        <LegalEntityID>15873483</LegalEntityID>
        <CaseLegalEntityID>121282157</CaseLegalEntityID>
        <AuthenticationTypeID>4</AuthenticationTypeID>
        <AuthenticationTypeName>מ.ר.</AuthenticationTypeName>
        <LegalEntityNumber>50942</LegalEntityNumber>
        <IsMainPartyType>true</IsMainPartyType>
        <CaseDisplayIdentifier>22962-03-21</CaseDisplayIdentifier>
        <CaseTypeID>10077</CaseTypeID>
        <CaseTypeName>תיק פשעים חמורים (תפ"ח)</CaseTypeName>
        <CaseName>מדינת ישראל נ' טויבי(עציר)</CaseName>
        <FullAddress>הרכבת 58 תל אביב -יפו מגדל אלקטרה סיטי</FullAddress>
        <EmailAddress>moshe@alon-law.co.il</EmailAddress>
        <MotionID>0</MotionID>
        <CasePleaID>0</CasePleaID>
        <LinkedCaseID>0</LinkedCaseID>
        <CasePartyCategoryID>2</CasePartyCategoryID>
        <LegalEntityAddressID>85445990</LegalEntityAddressID>
        <LegalEntityEmailAddressID>67936118</LegalEntityEmailAddressID>
        <PleaTypeID>8</PleaTypeID>
        <LawyerOfficeName>משרד עו"ד משה אלון ושות'</LawyerOfficeName>
        <LawyerOfficeID>20929234</LawyerOfficeID>
        <GroupPartyAlias/>
        <IsConverted>false</IsConverted>
        <LegalEntityNameID>17520580</LegalEntityNameID>
        <RepresentatedNamesOfAssistant/>
        <LegalEntityTypeID>4</LegalEntityTypeID>
        <IsVerdictExists>false</IsVerdictExists>
        <IsAsirAzir>false</IsAsirAzir>
        <IsPublicationProhibited>false</IsPublicationProhibited>
        <PublicationProhibitedFullName>דיאנה שומסקי שגיא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תמר אולמן גרינשפון</FullName>
        <FirstName>תמר</FirstName>
        <LastName>אולמן גרינשפון</LastName>
        <PartyPropertyName/>
        <AuthenticationTypeAndNumber>מ.ר. 10267</AuthenticationTypeAndNumber>
        <RepresentatedOrRepresentativesNames>אפיק טויבי</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223904147</CasePartyID>
        <PartyTypeID>2</PartyTypeID>
        <ActivityStatusID>1</ActivityStatusID>
        <PartyAliasID>32</PartyAliasID>
        <PartyAliasName>בא כוח נאשמים</PartyAliasName>
        <LegalEntityID>394763</LegalEntityID>
        <CaseLegalEntityID>114547955</CaseLegalEntityID>
        <AuthenticationTypeID>4</AuthenticationTypeID>
        <AuthenticationTypeName>מ.ר.</AuthenticationTypeName>
        <LegalEntityNumber>10267</LegalEntityNumber>
        <IsMainPartyType>true</IsMainPartyType>
        <CaseDisplayIdentifier>22962-03-21</CaseDisplayIdentifier>
        <CaseTypeID>10077</CaseTypeID>
        <CaseTypeName>תיק פשעים חמורים (תפ"ח)</CaseTypeName>
        <CaseName>מדינת ישראל נ' טויבי(עציר)</CaseName>
        <FullAddress>שד' פל ים 2 חיפה בניין אשל</FullAddress>
        <EmailAddress>ulmantami@gmail.com</EmailAddress>
        <MotionID>0</MotionID>
        <CasePleaID>0</CasePleaID>
        <LinkedCaseID>0</LinkedCaseID>
        <PartyID>2</PartyID>
        <CasePartyCategoryID>2</CasePartyCategoryID>
        <LegalEntityAddressID>82480677</LegalEntityAddressID>
        <LegalEntityEmailAddressID>67959524</LegalEntityEmailAddressID>
        <PleaTypeID>8</PleaTypeID>
        <LawyerOfficeName>משרד עו"ד: תמר אולמן גרינשפון</LawyerOfficeName>
        <LawyerOfficeID>435407</LawyerOfficeID>
        <GroupPartyAlias/>
        <IsConverted>false</IsConverted>
        <LegalEntityNameID>15747</LegalEntityNameID>
        <RepresentatedNamesOfAssistant/>
        <LegalEntityTypeID>4</LegalEntityTypeID>
        <IsVerdictExists>false</IsVerdictExists>
        <IsAsirAzir>false</IsAsirAzir>
        <IsPublicationProhibited>false</IsPublicationProhibited>
        <PublicationProhibitedFullName>תמר אולמן גרינשפון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קרן בר מנחם</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223894803</CasePartyID>
        <PartyTypeID>1</PartyTypeID>
        <ActivityStatusID>1</ActivityStatusID>
        <PartyAliasID>11</PartyAliasID>
        <PartyAliasName>מאשימה</PartyAliasName>
        <OrdinalNumber>1</OrdinalNumber>
        <LegalEntityID>4</LegalEntityID>
        <CaseLegalEntityID>114545310</CaseLegalEntityID>
        <AuthenticationTypeID>41</AuthenticationTypeID>
        <AuthenticationTypeName>מדינת ישראל </AuthenticationTypeName>
        <LegalEntityNumber/>
        <IsMainPartyType>true</IsMainPartyType>
        <CaseDisplayIdentifier>22962-03-21</CaseDisplayIdentifier>
        <CaseTypeID>10077</CaseTypeID>
        <CaseTypeName>תיק פשעים חמורים (תפ"ח)</CaseTypeName>
        <CaseName>מדינת ישראל נ' טויבי(עציר)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קרן בר מנחם</FullName>
        <FirstName>קרן</FirstName>
        <LastName>בר מנחם</LastName>
        <PartyPropertyName/>
        <AuthenticationTypeAndNumber>מ.ר. 23302</AuthenticationTypeAndNumber>
        <RepresentatedOrRepresentativesNames xml:space="preserve"> </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223894804</CasePartyID>
        <PartyTypeID>2</PartyTypeID>
        <ActivityStatusID>1</ActivityStatusID>
        <PartyAliasID>30</PartyAliasID>
        <PartyAliasName>בא כוח מאשימה</PartyAliasName>
        <OrdinalNumber>1</OrdinalNumber>
        <LegalEntityID>401487</LegalEntityID>
        <CaseLegalEntityID>114545311</CaseLegalEntityID>
        <AuthenticationTypeID>4</AuthenticationTypeID>
        <AuthenticationTypeName>מ.ר.</AuthenticationTypeName>
        <LegalEntityNumber>23302</LegalEntityNumber>
        <IsMainPartyType>true</IsMainPartyType>
        <CaseDisplayIdentifier>22962-03-21</CaseDisplayIdentifier>
        <CaseTypeID>10077</CaseTypeID>
        <CaseTypeName>תיק פשעים חמורים (תפ"ח)</CaseTypeName>
        <CaseName>מדינת ישראל נ' טויבי(עציר)</CaseName>
        <FullAddress>הרטום  8 ירושלים בניין בק למדע</FullAddress>
        <MotionID>0</MotionID>
        <CasePleaID>0</CasePleaID>
        <FatherName xml:space="preserve">        </FatherName>
        <LinkedCaseID>0</LinkedCaseID>
        <PartyID>1</PartyID>
        <CasePartyCategoryID>2</CasePartyCategoryID>
        <LegalEntityAddressID>71022138</LegalEntityAddressID>
        <PleaTypeID>8</PleaTypeID>
        <LawyerOfficeName>מח"ש - המחלקה לחקירות שוטרים</LawyerOfficeName>
        <LawyerOfficeID>419583</LawyerOfficeID>
        <GroupPartyAlias/>
        <IsConverted>false</IsConverted>
        <LegalEntityNameID>22471</LegalEntityNameID>
        <RepresentatedNamesOfAssistant/>
        <LegalEntityTypeID>4</LegalEntityTypeID>
        <IsVerdictExists>false</IsVerdictExists>
        <IsAsirAzir>false</IsAsirAzir>
        <IsPublicationProhibited>false</IsPublicationProhibited>
        <PublicationProhibitedFullName>קרן בר מנחם</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אפיק טויבי (עציר)</FullName>
        <FirstName>אפיק</FirstName>
        <LastName>טויבי</LastName>
        <PartyPropertyID>6</PartyPropertyID>
        <PartyPropertyName/>
        <AuthenticationTypeAndNumber>ת"ז 212188981</AuthenticationTypeAndNumber>
        <RepresentatedOrRepresentativesNames>תמר אולמן גרינשפון</RepresentatedOrRepresentativesNames>
        <RepresentatedOrRepresentativesCount>1</RepresentatedOrRepresentativesCount>
        <InvitedBy/>
        <CaseID>78172140</CaseID>
        <CaseJudicialPersonPresentationDS>
          <CaseJudicalPersonActive>
            <CaseID>78172140</CaseID>
            <JudicialPersonID>022768311@GOV.IL</JudicialPersonID>
            <JudicialPersonTypeID>1</JudicialPersonTypeID>
            <JudicialTypeID>3</JudicialTypeID>
            <IsChairman>true</IsChairman>
            <TreatmentStartDate>2021-08-12T12:52:33.587+03:00</TreatmentStartDate>
            <TreatmentFinishDate>9999-12-31T23:59:59.997+02:00</TreatmentFinishDate>
            <IdentificationCardNumber>022768311</IdentificationCardNumber>
            <DisplayName>יחיאל ליפשיץ</DisplayName>
            <JudicialTypeName>הרכב שופטים</JudicialTypeName>
            <CaseJudicialGroupNumber>467282</CaseJudicialGroupNumber>
            <FirstName>יחיאל</FirstName>
            <LastName>ליפשיץ</LastName>
            <JudicialPersonTitle>שופט</JudicialPersonTitle>
          </CaseJudicalPersonActive>
          <CaseJudicalPersonActive>
            <CaseID>78172140</CaseID>
            <JudicialPersonID>057228231@GOV.IL</JudicialPersonID>
            <JudicialPersonTypeID>1</JudicialPersonTypeID>
            <JudicialTypeID>3</JudicialTypeID>
            <IsChairman>false</IsChairman>
            <TreatmentStartDate>2021-08-12T12:52:33.587+03:00</TreatmentStartDate>
            <TreatmentFinishDate>9999-12-31T23:59:59.997+02:00</TreatmentFinishDate>
            <IdentificationCardNumber>057228231</IdentificationCardNumber>
            <DisplayName>גלית ציגלר</DisplayName>
            <JudicialTypeName>הרכב שופטים</JudicialTypeName>
            <CaseJudicialGroupNumber>467282</CaseJudicialGroupNumber>
            <FirstName>גלית</FirstName>
            <LastName>ציגלר</LastName>
            <JudicialPersonTitle>שופט</JudicialPersonTitle>
          </CaseJudicalPersonActive>
          <CaseJudicalPersonActive>
            <CaseID>78172140</CaseID>
            <JudicialPersonID>057793853@GOV.IL</JudicialPersonID>
            <JudicialPersonTypeID>1</JudicialPersonTypeID>
            <JudicialTypeID>3</JudicialTypeID>
            <IsChairman>false</IsChairman>
            <TreatmentStartDate>2021-08-12T12:52:33.587+03:00</TreatmentStartDate>
            <TreatmentFinishDate>9999-12-31T23:59:59.997+02:00</TreatmentFinishDate>
            <IdentificationCardNumber>057793853</IdentificationCardNumber>
            <DisplayName>שמואל מנדלבום</DisplayName>
            <JudicialTypeName>הרכב שופטים</JudicialTypeName>
            <CaseJudicialGroupNumber>467282</CaseJudicialGroupNumber>
            <FirstName>שמואל</FirstName>
            <LastName>מנדלבום</LastName>
            <JudicialPersonTitle>שופט</JudicialPersonTitle>
          </CaseJudicalPersonActive>
        </CaseJudicialPersonPresentationDS>
        <CasePartyID>223894805</CasePartyID>
        <PartyTypeID>1</PartyTypeID>
        <ActivityStatusID>1</ActivityStatusID>
        <PartyAliasID>13</PartyAliasID>
        <PartyAliasName>נאשם</PartyAliasName>
        <OrdinalNumber>1</OrdinalNumber>
        <LegalEntityID>73744433</LegalEntityID>
        <CaseLegalEntityID>114545312</CaseLegalEntityID>
        <AuthenticationTypeID>1</AuthenticationTypeID>
        <AuthenticationTypeName>ת"ז</AuthenticationTypeName>
        <LegalEntityNumber>212188981</LegalEntityNumber>
        <IsMainPartyType>true</IsMainPartyType>
        <CaseDisplayIdentifier>22962-03-21</CaseDisplayIdentifier>
        <CaseTypeID>10077</CaseTypeID>
        <CaseTypeName>תיק פשעים חמורים (תפ"ח)</CaseTypeName>
        <CaseName>מדינת ישראל נ' טויבי(עציר)</CaseName>
        <FullAddress>כרמל 11/5 נוף הגליל </FullAddress>
        <MotionID>0</MotionID>
        <CasePleaID>0</CasePleaID>
        <BirthDate>2001-01-14T11:29:35+02:00</BirthDate>
        <FatherName>משה</FatherName>
        <LinkedCaseID>0</LinkedCaseID>
        <PartyID>2</PartyID>
        <CasePartyCategoryID>2</CasePartyCategoryID>
        <LegalEntityAddressID>84957744</LegalEntityAddressID>
        <PleaTypeID>8</PleaTypeID>
        <GroupPartyAlias>נאשמים</GroupPartyAlias>
        <IsConverted>false</IsConverted>
        <LegalEntityRegisteredNameID>9426677</LegalEntityRegisteredNameID>
        <LegalEntityNameID>91071794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אפיק טויבי (עציר)</PublicationProhibitedFullName>
      </CaseParties>
    </CasePartiesSelectionDS>
    <CaseName>מדינת ישראל נ' טויבי(עציר)</CaseName>
    <CaseDisplayIdentifier>22962-03-21</CaseDisplayIdentifier>
    <CaseTypeShortName>תפ"ח</CaseTypeShortName>
  </dt_DecisionCase>
  <dt_DecisionJudgePanel>
    <JudgeID>022768311@GOV.IL</JudgeID>
    <DisplayName>ליפשיץ</DisplayName>
    <RoleName>שופט</RoleName>
    <UserTitleName>שופט</UserTitleName>
  </dt_DecisionJudgePanel>
  <dt_DecisionJudgePanel>
    <JudgeID>057228231@GOV.IL</JudgeID>
    <DisplayName>ציגלר</DisplayName>
    <RoleName>שופט</RoleName>
    <UserTitleName>שופטת</UserTitleName>
  </dt_DecisionJudgePanel>
  <dt_DecisionJudgePanel>
    <JudgeID>057793853@GOV.IL</JudgeID>
    <DisplayName>מנדלבום</DisplayName>
    <RoleName>שופט</RoleName>
    <UserTitleName>שופט</UserTitleName>
  </dt_DecisionJudgePanel>
  <dt_LegalEntityDetails>
    <Fax>04-8678696</Fax>
    <Phone>04-8664272</Phone>
    <AddressDesc>בניין אשל</AddressDesc>
    <PartyID>2</PartyID>
    <PartyTypeID>2</PartyTypeID>
    <DecisionID>0</DecisionID>
    <StreetName>שד' פל ים 2</StreetName>
    <CityName>חיפה</CityName>
    <FullName>תמר אולמן גרינשפון</FullName>
    <Email>ulmantami@gmail.com</Email>
    <IsPublicationProhibited>false</IsPublicationProhibited>
  </dt_LegalEntityDetails>
  <dt_LegalEntityDetails>
    <Fax>03-5755586</Fax>
    <Phone>03-5755540</Phone>
    <AddressDesc>מגדל אלקטרה סיטי</AddressDesc>
    <PartyTypeID>2</PartyTypeID>
    <DecisionID>0</DecisionID>
    <StreetName>הרכבת 58</StreetName>
    <ZipCode>6777016</ZipCode>
    <CityName>תל אביב -יפו</CityName>
    <FullName>דיאנה שומסקי שגיא</FullName>
    <Email>moshe@alon-law.co.il</Email>
    <IsPublicationProhibited>false</IsPublicationProhibited>
  </dt_LegalEntityDetails>
  <dt_LegalEntityDetails>
    <PartyID>1</PartyID>
    <PartyTypeID>1</PartyTypeID>
    <DecisionID>0</DecisionID>
    <IsPublicationProhibited>false</IsPublicationProhibited>
  </dt_LegalEntityDetails>
  <dt_LegalEntityDetails>
    <Fax>02-6467794</Fax>
    <Phone>02-5412400</Phone>
    <AddressDesc>בניין בק למדע</AddressDesc>
    <PartyID>1</PartyID>
    <PartyTypeID>2</PartyTypeID>
    <DecisionID>0</DecisionID>
    <StreetName>הרטום  8</StreetName>
    <ZipCode>91450</ZipCode>
    <CityName>ירושלים</CityName>
    <FullName>קרן בר מנחם</FullName>
    <Email>herzels@justice.gov.il</Email>
    <IsPublicationProhibited>false</IsPublicationProhibited>
  </dt_LegalEntityDetails>
  <dt_LegalEntityDetails>
    <PartyID>2</PartyID>
    <PartyTypeID>1</PartyTypeID>
    <DecisionID>0</DecisionID>
    <StreetName>כרמל 11/5</StreetName>
    <CityName>נוף הגליל</CityName>
    <FullName>אפיק טויבי</FullName>
    <IsPublicationProhibited>false</IsPublicationProhibited>
  </dt_LegalEntityDetails>
  <dt_CaseJudicalPersonActive>
    <CaseJudicalPerson>שופט יחיאל ליפשיץ, שופטת גלית ציגלר, שופט שמואל מנדלבום</CaseJudicalPerson>
  </dt_CaseJudicalPersonActive>
  <dt_Sitting>
    <FutureSittingDate>2023-10-22T12:00:00+03:00</FutureSittingDate>
    <PreviousMeetingDate>2023-03-20T13:00:00+02:00</PreviousMeetingDate>
    <NextSittingTypeID>35</NextSittingTypeID>
    <PreviousSittingTypeID>2</PreviousSittingTypeID>
    <NextMeetingDisplayName>יחיאל ליפשיץ, גלית ציגלר, שמואל מנדלבום</NextMeetingDisplayName>
    <NextMeetingUserUPN>022768311@GOV.IL, 057228231@GOV.IL, 057793853@GOV.IL</NextMeetingUserUPN>
    <PreviousMeetingDisplayName>יחיאל ליפשיץ, גלית ציגלר, שמואל מנדלבום</PreviousMeetingDisplayName>
    <PreviousMeetingUserUPN>022768311@GOV.IL, 057228231@GOV.IL, 057793853@GOV.IL</PreviousMeetingUserUPN>
  </dt_Sitting>
</DecisionTemplateDS>
</file>

<file path=customXml/itemProps1.xml><?xml version="1.0" encoding="utf-8"?>
<ds:datastoreItem xmlns:ds="http://schemas.openxmlformats.org/officeDocument/2006/customXml" ds:itemID="{3784FA19-0623-4A82-9049-C64EFD6AEEB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19540</Words>
  <Characters>97702</Characters>
  <Application>Microsoft Office Word</Application>
  <DocSecurity>4</DocSecurity>
  <Lines>814</Lines>
  <Paragraphs>234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2023-11-29T07:44:00Z</dcterms:created>
  <dcterms:modified xsi:type="dcterms:W3CDTF">2023-11-29T07:44:00Z</dcterms:modified>
</cp:coreProperties>
</file>